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28967" w14:textId="5D226059" w:rsidR="00347F24" w:rsidRPr="00495846" w:rsidRDefault="00495846" w:rsidP="00347F24">
      <w:pPr>
        <w:pStyle w:val="Titlu3"/>
        <w:ind w:right="29"/>
        <w:rPr>
          <w:rFonts w:cstheme="minorHAnsi"/>
          <w:b/>
          <w:bCs/>
          <w:color w:val="auto"/>
          <w:sz w:val="22"/>
        </w:rPr>
      </w:pPr>
      <w:bookmarkStart w:id="0" w:name="_Toc159511974"/>
      <w:r>
        <w:rPr>
          <w:rFonts w:cstheme="minorHAnsi"/>
          <w:b/>
          <w:bCs/>
          <w:sz w:val="22"/>
        </w:rPr>
        <w:tab/>
      </w:r>
      <w:r>
        <w:rPr>
          <w:rFonts w:cstheme="minorHAnsi"/>
          <w:b/>
          <w:bCs/>
          <w:sz w:val="22"/>
        </w:rPr>
        <w:tab/>
      </w:r>
      <w:r>
        <w:rPr>
          <w:rFonts w:cstheme="minorHAnsi"/>
          <w:b/>
          <w:bCs/>
          <w:sz w:val="22"/>
        </w:rPr>
        <w:tab/>
      </w:r>
      <w:r>
        <w:rPr>
          <w:rFonts w:cstheme="minorHAnsi"/>
          <w:b/>
          <w:bCs/>
          <w:sz w:val="22"/>
        </w:rPr>
        <w:tab/>
      </w:r>
      <w:r>
        <w:rPr>
          <w:rFonts w:cstheme="minorHAnsi"/>
          <w:b/>
          <w:bCs/>
          <w:sz w:val="22"/>
        </w:rPr>
        <w:tab/>
      </w:r>
      <w:bookmarkStart w:id="1" w:name="_Hlk169288734"/>
      <w:r>
        <w:rPr>
          <w:rFonts w:cstheme="minorHAnsi"/>
          <w:b/>
          <w:bCs/>
          <w:sz w:val="22"/>
        </w:rPr>
        <w:tab/>
      </w:r>
      <w:r w:rsidRPr="00495846">
        <w:rPr>
          <w:rFonts w:cstheme="minorHAnsi"/>
          <w:b/>
          <w:bCs/>
          <w:color w:val="auto"/>
          <w:sz w:val="22"/>
        </w:rPr>
        <w:t xml:space="preserve">Anexa nr. 5 la HCL nr. </w:t>
      </w:r>
      <w:r w:rsidR="00F16C38">
        <w:rPr>
          <w:rFonts w:cstheme="minorHAnsi"/>
          <w:b/>
          <w:bCs/>
          <w:color w:val="auto"/>
          <w:sz w:val="22"/>
        </w:rPr>
        <w:t>56</w:t>
      </w:r>
      <w:r w:rsidRPr="00495846">
        <w:rPr>
          <w:rFonts w:cstheme="minorHAnsi"/>
          <w:b/>
          <w:bCs/>
          <w:color w:val="auto"/>
          <w:sz w:val="22"/>
        </w:rPr>
        <w:t>/14.06.2024</w:t>
      </w:r>
    </w:p>
    <w:p w14:paraId="7222D23D" w14:textId="77777777" w:rsidR="00347F24" w:rsidRPr="00347F24" w:rsidRDefault="00347F24" w:rsidP="00347F24"/>
    <w:p w14:paraId="4EEFA8CB" w14:textId="77777777" w:rsidR="00347F24" w:rsidRPr="00347F24" w:rsidRDefault="00347F24" w:rsidP="00347F24">
      <w:pPr>
        <w:jc w:val="center"/>
        <w:rPr>
          <w:b/>
          <w:bCs/>
        </w:rPr>
      </w:pPr>
    </w:p>
    <w:p w14:paraId="277D22F8" w14:textId="46B8228B" w:rsidR="00347F24" w:rsidRDefault="00347F24" w:rsidP="00347F24">
      <w:pPr>
        <w:jc w:val="center"/>
        <w:rPr>
          <w:b/>
          <w:bCs/>
          <w:sz w:val="28"/>
          <w:szCs w:val="28"/>
        </w:rPr>
      </w:pPr>
      <w:r w:rsidRPr="00347F24">
        <w:rPr>
          <w:b/>
          <w:bCs/>
          <w:sz w:val="28"/>
          <w:szCs w:val="28"/>
        </w:rPr>
        <w:t>INDICATORI DE PERFORMANȚĂ AI SERVICIULUI PUBLIC DE ALIMENTARE CU APĂ ȘI DE CANALIZARE</w:t>
      </w:r>
    </w:p>
    <w:p w14:paraId="499A96A6" w14:textId="77777777" w:rsidR="00347F24" w:rsidRDefault="00347F24" w:rsidP="00347F24">
      <w:pPr>
        <w:jc w:val="center"/>
        <w:rPr>
          <w:b/>
          <w:bCs/>
          <w:sz w:val="28"/>
          <w:szCs w:val="28"/>
        </w:rPr>
      </w:pPr>
    </w:p>
    <w:p w14:paraId="689A3CED" w14:textId="77777777" w:rsidR="00347F24" w:rsidRPr="00347F24" w:rsidRDefault="00347F24" w:rsidP="00347F24">
      <w:pPr>
        <w:jc w:val="center"/>
        <w:rPr>
          <w:b/>
          <w:bCs/>
          <w:sz w:val="28"/>
          <w:szCs w:val="28"/>
        </w:rPr>
      </w:pPr>
    </w:p>
    <w:p w14:paraId="2408BC13" w14:textId="77777777" w:rsidR="00347F24" w:rsidRDefault="00347F24" w:rsidP="00347F24">
      <w:pPr>
        <w:pStyle w:val="Titlu3"/>
        <w:ind w:right="29"/>
        <w:rPr>
          <w:rFonts w:cstheme="minorHAnsi"/>
          <w:b/>
          <w:bCs/>
          <w:sz w:val="22"/>
        </w:rPr>
      </w:pPr>
    </w:p>
    <w:p w14:paraId="300A04C5" w14:textId="7E23F094" w:rsidR="00347F24" w:rsidRPr="00495846" w:rsidRDefault="00347F24" w:rsidP="00347F24">
      <w:pPr>
        <w:pStyle w:val="Titlu3"/>
        <w:ind w:right="29"/>
        <w:jc w:val="center"/>
        <w:rPr>
          <w:rFonts w:cstheme="minorHAnsi"/>
          <w:b/>
          <w:bCs/>
          <w:color w:val="auto"/>
        </w:rPr>
      </w:pPr>
      <w:r w:rsidRPr="00495846">
        <w:rPr>
          <w:rFonts w:cstheme="minorHAnsi"/>
          <w:b/>
          <w:bCs/>
          <w:color w:val="auto"/>
        </w:rPr>
        <w:t>Indicatori de Performanța de management</w:t>
      </w:r>
      <w:bookmarkEnd w:id="0"/>
    </w:p>
    <w:p w14:paraId="0B65B3B7" w14:textId="77777777" w:rsidR="00347F24" w:rsidRDefault="00347F24" w:rsidP="00347F24">
      <w:pPr>
        <w:rPr>
          <w:rFonts w:cstheme="minorHAnsi"/>
        </w:rPr>
      </w:pPr>
    </w:p>
    <w:p w14:paraId="57AC2528" w14:textId="77777777" w:rsidR="00347F24" w:rsidRDefault="00347F24" w:rsidP="00347F24">
      <w:pPr>
        <w:pStyle w:val="Titlu1"/>
        <w:pBdr>
          <w:bottom w:val="single" w:sz="4" w:space="1" w:color="auto"/>
        </w:pBdr>
        <w:rPr>
          <w:rFonts w:asciiTheme="minorHAnsi" w:hAnsiTheme="minorHAnsi" w:cstheme="minorHAnsi"/>
          <w:color w:val="auto"/>
          <w:sz w:val="22"/>
          <w:szCs w:val="22"/>
        </w:rPr>
      </w:pPr>
      <w:bookmarkStart w:id="2" w:name="_Toc17277227"/>
      <w:bookmarkStart w:id="3" w:name="_Toc38364028"/>
      <w:bookmarkStart w:id="4" w:name="_Toc40171754"/>
      <w:bookmarkStart w:id="5" w:name="_Toc48730343"/>
      <w:bookmarkStart w:id="6" w:name="_Toc123990426"/>
      <w:bookmarkStart w:id="7" w:name="_Toc123999826"/>
      <w:bookmarkStart w:id="8" w:name="_Toc126769743"/>
      <w:bookmarkStart w:id="9" w:name="_Toc128571302"/>
      <w:bookmarkStart w:id="10" w:name="_Toc159505180"/>
      <w:bookmarkStart w:id="11" w:name="_Toc159506257"/>
      <w:bookmarkStart w:id="12" w:name="_Toc159511975"/>
      <w:r>
        <w:rPr>
          <w:rFonts w:asciiTheme="minorHAnsi" w:hAnsiTheme="minorHAnsi" w:cstheme="minorHAnsi"/>
          <w:color w:val="auto"/>
          <w:sz w:val="22"/>
          <w:szCs w:val="22"/>
        </w:rPr>
        <w:t>INDICATORI PRIVIND PERFORMANȚA ECONOMICĂ ȘI FINANCIARĂ</w:t>
      </w:r>
      <w:bookmarkEnd w:id="2"/>
      <w:bookmarkEnd w:id="3"/>
      <w:bookmarkEnd w:id="4"/>
      <w:bookmarkEnd w:id="5"/>
      <w:bookmarkEnd w:id="6"/>
      <w:bookmarkEnd w:id="7"/>
      <w:bookmarkEnd w:id="8"/>
      <w:bookmarkEnd w:id="9"/>
      <w:bookmarkEnd w:id="10"/>
      <w:bookmarkEnd w:id="11"/>
      <w:bookmarkEnd w:id="12"/>
    </w:p>
    <w:p w14:paraId="021A59C9" w14:textId="77777777" w:rsidR="00347F24" w:rsidRDefault="00347F24" w:rsidP="00347F24"/>
    <w:p w14:paraId="47F316DC" w14:textId="77777777" w:rsidR="00347F24" w:rsidRDefault="00347F24" w:rsidP="00347F24">
      <w:pPr>
        <w:jc w:val="both"/>
        <w:rPr>
          <w:rFonts w:cstheme="minorHAnsi"/>
        </w:rPr>
      </w:pPr>
      <w:r>
        <w:rPr>
          <w:rFonts w:cstheme="minorHAnsi"/>
        </w:rPr>
        <w:t>Eficiența economică și financiară măsoară capacitatea unui operator de apă și canalizare de a furniza apă într-o manieră cât mai eficientă din punct de vedere al costurilor, asigurând în același timp respectarea standardelor de calitate și a clienților. Au fost considerați ca și indicatori de performanță privind managementul operatorului următorii indicatori financiari anuali:</w:t>
      </w:r>
    </w:p>
    <w:p w14:paraId="53C0E185" w14:textId="77777777" w:rsidR="00347F24" w:rsidRDefault="00347F24" w:rsidP="00347F24">
      <w:pPr>
        <w:pStyle w:val="Titlu2"/>
        <w:jc w:val="both"/>
        <w:rPr>
          <w:rFonts w:asciiTheme="minorHAnsi" w:hAnsiTheme="minorHAnsi" w:cstheme="minorHAnsi"/>
          <w:color w:val="auto"/>
          <w:sz w:val="22"/>
          <w:szCs w:val="22"/>
        </w:rPr>
      </w:pPr>
      <w:bookmarkStart w:id="13" w:name="_Toc17277228"/>
      <w:bookmarkStart w:id="14" w:name="_Toc38364029"/>
      <w:bookmarkStart w:id="15" w:name="_Toc40171755"/>
      <w:bookmarkStart w:id="16" w:name="_Toc48730344"/>
      <w:bookmarkStart w:id="17" w:name="_Toc123990427"/>
      <w:bookmarkStart w:id="18" w:name="_Toc123999827"/>
      <w:bookmarkStart w:id="19" w:name="_Toc126769744"/>
      <w:bookmarkStart w:id="20" w:name="_Toc128571303"/>
      <w:bookmarkStart w:id="21" w:name="_Toc159505181"/>
      <w:bookmarkStart w:id="22" w:name="_Toc159506258"/>
      <w:bookmarkStart w:id="23" w:name="_Toc159511976"/>
      <w:r>
        <w:rPr>
          <w:rFonts w:asciiTheme="minorHAnsi" w:hAnsiTheme="minorHAnsi" w:cstheme="minorHAnsi"/>
          <w:color w:val="auto"/>
          <w:sz w:val="22"/>
          <w:szCs w:val="22"/>
        </w:rPr>
        <w:t>1.1 Rata profitului din exploatare înainte de amortizare și redevență</w:t>
      </w:r>
      <w:bookmarkEnd w:id="13"/>
      <w:bookmarkEnd w:id="14"/>
      <w:bookmarkEnd w:id="15"/>
      <w:bookmarkEnd w:id="16"/>
      <w:bookmarkEnd w:id="17"/>
      <w:bookmarkEnd w:id="18"/>
      <w:bookmarkEnd w:id="19"/>
      <w:bookmarkEnd w:id="20"/>
      <w:bookmarkEnd w:id="21"/>
      <w:bookmarkEnd w:id="22"/>
      <w:bookmarkEnd w:id="23"/>
      <w:r>
        <w:rPr>
          <w:rFonts w:asciiTheme="minorHAnsi" w:hAnsiTheme="minorHAnsi" w:cstheme="minorHAnsi"/>
          <w:color w:val="auto"/>
          <w:sz w:val="22"/>
          <w:szCs w:val="22"/>
        </w:rPr>
        <w:t xml:space="preserve"> </w:t>
      </w:r>
    </w:p>
    <w:p w14:paraId="299895DE" w14:textId="77777777" w:rsidR="00347F24" w:rsidRDefault="00347F24" w:rsidP="00347F24">
      <w:pPr>
        <w:jc w:val="both"/>
        <w:rPr>
          <w:rFonts w:cstheme="minorHAnsi"/>
        </w:rPr>
      </w:pPr>
      <w:r>
        <w:rPr>
          <w:rFonts w:cstheme="minorHAnsi"/>
        </w:rPr>
        <w:t>Rata profitului din exploatare înainte de amortizare și redevență se calculează considerând următoarele elemente:</w:t>
      </w:r>
    </w:p>
    <w:p w14:paraId="5DBA245D" w14:textId="77777777" w:rsidR="00347F24" w:rsidRDefault="00347F24" w:rsidP="00347F24">
      <w:pPr>
        <w:pStyle w:val="Listparagraf"/>
        <w:numPr>
          <w:ilvl w:val="0"/>
          <w:numId w:val="1"/>
        </w:numPr>
        <w:spacing w:before="120" w:after="120" w:line="240" w:lineRule="auto"/>
        <w:jc w:val="both"/>
        <w:rPr>
          <w:rFonts w:cstheme="minorHAnsi"/>
        </w:rPr>
      </w:pPr>
      <w:r>
        <w:rPr>
          <w:rFonts w:cstheme="minorHAnsi"/>
        </w:rPr>
        <w:t>total venituri din exploatare (A)</w:t>
      </w:r>
    </w:p>
    <w:p w14:paraId="4911DEE6" w14:textId="77777777" w:rsidR="00347F24" w:rsidRDefault="00347F24" w:rsidP="00347F24">
      <w:pPr>
        <w:pStyle w:val="Listparagraf"/>
        <w:numPr>
          <w:ilvl w:val="0"/>
          <w:numId w:val="1"/>
        </w:numPr>
        <w:spacing w:before="120" w:after="120" w:line="240" w:lineRule="auto"/>
        <w:jc w:val="both"/>
        <w:rPr>
          <w:rFonts w:cstheme="minorHAnsi"/>
        </w:rPr>
      </w:pPr>
      <w:r>
        <w:rPr>
          <w:rFonts w:cstheme="minorHAnsi"/>
        </w:rPr>
        <w:t>total cheltuieli din exploatare (cheltuieli de operare și întreținere și costurile forței de muncă interne) (B)</w:t>
      </w:r>
    </w:p>
    <w:p w14:paraId="4DA0F299" w14:textId="77777777" w:rsidR="00347F24" w:rsidRDefault="00347F24" w:rsidP="00347F24">
      <w:pPr>
        <w:pStyle w:val="Listparagraf"/>
        <w:numPr>
          <w:ilvl w:val="0"/>
          <w:numId w:val="1"/>
        </w:numPr>
        <w:spacing w:before="120" w:after="120" w:line="240" w:lineRule="auto"/>
        <w:jc w:val="both"/>
        <w:rPr>
          <w:rFonts w:cstheme="minorHAnsi"/>
        </w:rPr>
      </w:pPr>
      <w:r>
        <w:rPr>
          <w:rFonts w:cstheme="minorHAnsi"/>
        </w:rPr>
        <w:t>cheltuielile cu amortizarea (C)</w:t>
      </w:r>
    </w:p>
    <w:p w14:paraId="3287B7A4" w14:textId="77777777" w:rsidR="00347F24" w:rsidRDefault="00347F24" w:rsidP="00347F24">
      <w:pPr>
        <w:pStyle w:val="Listparagraf"/>
        <w:numPr>
          <w:ilvl w:val="0"/>
          <w:numId w:val="1"/>
        </w:numPr>
        <w:spacing w:before="120" w:after="120" w:line="240" w:lineRule="auto"/>
        <w:jc w:val="both"/>
        <w:rPr>
          <w:rFonts w:cstheme="minorHAnsi"/>
        </w:rPr>
      </w:pPr>
      <w:r>
        <w:rPr>
          <w:rFonts w:cstheme="minorHAnsi"/>
        </w:rPr>
        <w:t>cheltuielile cu redevență (D)</w:t>
      </w:r>
    </w:p>
    <w:p w14:paraId="1B9CE32D" w14:textId="77777777" w:rsidR="00347F24" w:rsidRDefault="00347F24" w:rsidP="00347F24">
      <w:pPr>
        <w:shd w:val="clear" w:color="auto" w:fill="C9C9C9"/>
        <w:rPr>
          <w:rFonts w:cstheme="minorHAnsi"/>
          <w:b/>
          <w:color w:val="FFFFFF"/>
        </w:rPr>
      </w:pPr>
      <m:oMathPara>
        <m:oMath>
          <m:r>
            <m:rPr>
              <m:sty m:val="b"/>
            </m:rPr>
            <w:rPr>
              <w:rFonts w:ascii="Cambria Math" w:hAnsi="Cambria Math" w:cs="Calibri Light"/>
              <w:color w:val="FFFFFF"/>
              <w:shd w:val="clear" w:color="auto" w:fill="C9C9C9"/>
            </w:rPr>
            <m:t xml:space="preserve">Rata profitului </m:t>
          </m:r>
          <m:d>
            <m:dPr>
              <m:ctrlPr>
                <w:rPr>
                  <w:rFonts w:ascii="Cambria Math" w:hAnsi="Cambria Math" w:cs="Calibri Light"/>
                  <w:b/>
                  <w:color w:val="FFFFFF"/>
                  <w:shd w:val="clear" w:color="auto" w:fill="C9C9C9"/>
                </w:rPr>
              </m:ctrlPr>
            </m:dPr>
            <m:e>
              <m:r>
                <m:rPr>
                  <m:sty m:val="b"/>
                </m:rPr>
                <w:rPr>
                  <w:rFonts w:ascii="Cambria Math" w:hAnsi="Cambria Math" w:cs="Calibri Light"/>
                  <w:color w:val="FFFFFF"/>
                  <w:shd w:val="clear" w:color="auto" w:fill="C9C9C9"/>
                </w:rPr>
                <m:t>%</m:t>
              </m:r>
            </m:e>
          </m:d>
          <m:r>
            <m:rPr>
              <m:sty m:val="b"/>
            </m:rPr>
            <w:rPr>
              <w:rFonts w:ascii="Cambria Math" w:hAnsi="Cambria Math" w:cs="Calibri Light"/>
              <w:color w:val="FFFFFF"/>
              <w:shd w:val="clear" w:color="auto" w:fill="C9C9C9"/>
            </w:rPr>
            <m:t>=</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A-B+C+D</m:t>
              </m:r>
            </m:num>
            <m:den>
              <m:r>
                <m:rPr>
                  <m:sty m:val="b"/>
                </m:rPr>
                <w:rPr>
                  <w:rFonts w:ascii="Cambria Math" w:hAnsi="Cambria Math" w:cs="Calibri Light"/>
                  <w:color w:val="FFFFFF"/>
                  <w:shd w:val="clear" w:color="auto" w:fill="C9C9C9"/>
                </w:rPr>
                <m:t>A</m:t>
              </m:r>
            </m:den>
          </m:f>
          <m:r>
            <m:rPr>
              <m:sty m:val="bi"/>
            </m:rPr>
            <w:rPr>
              <w:rFonts w:ascii="Cambria Math" w:hAnsi="Cambria Math" w:cs="Calibri Light"/>
              <w:color w:val="FFFFFF"/>
              <w:shd w:val="clear" w:color="auto" w:fill="C9C9C9"/>
            </w:rPr>
            <m:t xml:space="preserve"> ×100</m:t>
          </m:r>
        </m:oMath>
      </m:oMathPara>
    </w:p>
    <w:p w14:paraId="6CC3EB98" w14:textId="77777777" w:rsidR="00347F24" w:rsidRDefault="00347F24" w:rsidP="00347F24">
      <w:pPr>
        <w:rPr>
          <w:rFonts w:cstheme="minorHAnsi"/>
        </w:rPr>
      </w:pPr>
    </w:p>
    <w:p w14:paraId="3332138A" w14:textId="77777777" w:rsidR="00347F24" w:rsidRDefault="00347F24" w:rsidP="00347F24">
      <w:pPr>
        <w:pStyle w:val="Titlu2"/>
        <w:rPr>
          <w:rFonts w:asciiTheme="minorHAnsi" w:hAnsiTheme="minorHAnsi" w:cstheme="minorHAnsi"/>
          <w:color w:val="auto"/>
          <w:sz w:val="22"/>
          <w:szCs w:val="22"/>
        </w:rPr>
      </w:pPr>
      <w:bookmarkStart w:id="24" w:name="_Toc17277229"/>
      <w:bookmarkStart w:id="25" w:name="_Toc38364030"/>
      <w:bookmarkStart w:id="26" w:name="_Toc40171756"/>
      <w:bookmarkStart w:id="27" w:name="_Toc48730345"/>
      <w:bookmarkStart w:id="28" w:name="_Toc123990428"/>
      <w:bookmarkStart w:id="29" w:name="_Toc123999828"/>
      <w:bookmarkStart w:id="30" w:name="_Toc126769745"/>
      <w:bookmarkStart w:id="31" w:name="_Toc128571304"/>
      <w:bookmarkStart w:id="32" w:name="_Toc159505182"/>
      <w:bookmarkStart w:id="33" w:name="_Toc159506259"/>
      <w:bookmarkStart w:id="34" w:name="_Toc159511977"/>
      <w:r>
        <w:rPr>
          <w:rFonts w:asciiTheme="minorHAnsi" w:hAnsiTheme="minorHAnsi" w:cstheme="minorHAnsi"/>
          <w:color w:val="auto"/>
          <w:sz w:val="22"/>
          <w:szCs w:val="22"/>
        </w:rPr>
        <w:t>1.2 Raportul Datorie financiară existentă /EBITDA</w:t>
      </w:r>
      <w:bookmarkEnd w:id="24"/>
      <w:bookmarkEnd w:id="25"/>
      <w:bookmarkEnd w:id="26"/>
      <w:bookmarkEnd w:id="27"/>
      <w:bookmarkEnd w:id="28"/>
      <w:bookmarkEnd w:id="29"/>
      <w:bookmarkEnd w:id="30"/>
      <w:bookmarkEnd w:id="31"/>
      <w:bookmarkEnd w:id="32"/>
      <w:bookmarkEnd w:id="33"/>
      <w:bookmarkEnd w:id="34"/>
    </w:p>
    <w:p w14:paraId="23246F93" w14:textId="77777777" w:rsidR="00347F24" w:rsidRDefault="00347F24" w:rsidP="00347F24">
      <w:pPr>
        <w:rPr>
          <w:rFonts w:cstheme="minorHAnsi"/>
        </w:rPr>
      </w:pPr>
      <w:r>
        <w:rPr>
          <w:rFonts w:cstheme="minorHAnsi"/>
        </w:rPr>
        <w:t>Raportul Datorie financiară existentă / EBITDA se calculează considerând următoarele elemente:</w:t>
      </w:r>
    </w:p>
    <w:p w14:paraId="47D91718" w14:textId="77777777" w:rsidR="00347F24" w:rsidRDefault="00347F24" w:rsidP="00347F24">
      <w:pPr>
        <w:pStyle w:val="Listparagraf"/>
        <w:numPr>
          <w:ilvl w:val="0"/>
          <w:numId w:val="2"/>
        </w:numPr>
        <w:rPr>
          <w:rFonts w:cstheme="minorHAnsi"/>
        </w:rPr>
      </w:pPr>
      <w:r>
        <w:rPr>
          <w:rFonts w:cstheme="minorHAnsi"/>
        </w:rPr>
        <w:t>datoria financiară existentă (A) (RON/an)</w:t>
      </w:r>
    </w:p>
    <w:p w14:paraId="6E57D280" w14:textId="77777777" w:rsidR="00347F24" w:rsidRDefault="00347F24" w:rsidP="00347F24">
      <w:pPr>
        <w:pStyle w:val="Listparagraf"/>
        <w:numPr>
          <w:ilvl w:val="0"/>
          <w:numId w:val="2"/>
        </w:numPr>
        <w:jc w:val="both"/>
        <w:rPr>
          <w:rFonts w:cstheme="minorHAnsi"/>
        </w:rPr>
      </w:pPr>
      <w:r>
        <w:rPr>
          <w:rFonts w:cstheme="minorHAnsi"/>
        </w:rPr>
        <w:t>EBITDA (B) (RON/an)</w:t>
      </w:r>
    </w:p>
    <w:p w14:paraId="3A337016"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Raportul datorie financiară existentă/EBITDA=</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m:t>
          </m:r>
        </m:oMath>
      </m:oMathPara>
    </w:p>
    <w:p w14:paraId="625FD1EF" w14:textId="77777777" w:rsidR="00347F24" w:rsidRDefault="00347F24" w:rsidP="00347F24">
      <w:pPr>
        <w:rPr>
          <w:rFonts w:cstheme="minorHAnsi"/>
        </w:rPr>
      </w:pPr>
      <w:bookmarkStart w:id="35" w:name="_Toc532985859"/>
    </w:p>
    <w:p w14:paraId="1105A4C7" w14:textId="77777777" w:rsidR="00347F24" w:rsidRDefault="00347F24" w:rsidP="00347F24">
      <w:pPr>
        <w:pStyle w:val="Titlu2"/>
        <w:rPr>
          <w:rFonts w:asciiTheme="minorHAnsi" w:hAnsiTheme="minorHAnsi" w:cstheme="minorHAnsi"/>
          <w:color w:val="auto"/>
          <w:sz w:val="22"/>
          <w:szCs w:val="22"/>
        </w:rPr>
      </w:pPr>
      <w:bookmarkStart w:id="36" w:name="_Toc17277230"/>
      <w:bookmarkStart w:id="37" w:name="_Toc38364031"/>
      <w:bookmarkStart w:id="38" w:name="_Toc40171757"/>
      <w:bookmarkStart w:id="39" w:name="_Toc48730346"/>
      <w:bookmarkStart w:id="40" w:name="_Toc123990429"/>
      <w:bookmarkStart w:id="41" w:name="_Toc123999829"/>
      <w:bookmarkStart w:id="42" w:name="_Toc126769746"/>
      <w:bookmarkStart w:id="43" w:name="_Toc128571305"/>
      <w:bookmarkStart w:id="44" w:name="_Toc159505183"/>
      <w:bookmarkStart w:id="45" w:name="_Toc159506260"/>
      <w:bookmarkStart w:id="46" w:name="_Toc159511978"/>
      <w:r>
        <w:rPr>
          <w:rFonts w:asciiTheme="minorHAnsi" w:hAnsiTheme="minorHAnsi" w:cstheme="minorHAnsi"/>
          <w:color w:val="auto"/>
          <w:sz w:val="22"/>
          <w:szCs w:val="22"/>
        </w:rPr>
        <w:lastRenderedPageBreak/>
        <w:t>1.3 Perioada de încasare a creanțelor</w:t>
      </w:r>
      <w:bookmarkEnd w:id="36"/>
      <w:bookmarkEnd w:id="37"/>
      <w:bookmarkEnd w:id="38"/>
      <w:bookmarkEnd w:id="39"/>
      <w:bookmarkEnd w:id="40"/>
      <w:bookmarkEnd w:id="41"/>
      <w:bookmarkEnd w:id="42"/>
      <w:bookmarkEnd w:id="43"/>
      <w:bookmarkEnd w:id="44"/>
      <w:bookmarkEnd w:id="45"/>
      <w:bookmarkEnd w:id="46"/>
    </w:p>
    <w:p w14:paraId="208F2FCD" w14:textId="77777777" w:rsidR="00347F24" w:rsidRDefault="00347F24" w:rsidP="00347F24">
      <w:pPr>
        <w:rPr>
          <w:rFonts w:cstheme="minorHAnsi"/>
        </w:rPr>
      </w:pPr>
      <w:r>
        <w:rPr>
          <w:rFonts w:cstheme="minorHAnsi"/>
        </w:rPr>
        <w:t>Perioada de încasare a creanțelor indică de câte zile este nevoie ca o vânzare să se transforme în intrare de numerar. O valoare mică (&lt;30) arată o companie cu lichiditate bună. Se calculează considerând următoarele elemente:</w:t>
      </w:r>
    </w:p>
    <w:p w14:paraId="30298638" w14:textId="77777777" w:rsidR="00347F24" w:rsidRDefault="00347F24" w:rsidP="00347F24">
      <w:pPr>
        <w:pStyle w:val="Listparagraf"/>
        <w:numPr>
          <w:ilvl w:val="0"/>
          <w:numId w:val="3"/>
        </w:numPr>
        <w:spacing w:before="120" w:after="120" w:line="240" w:lineRule="auto"/>
        <w:jc w:val="both"/>
        <w:rPr>
          <w:rFonts w:cstheme="minorHAnsi"/>
        </w:rPr>
      </w:pPr>
      <w:r>
        <w:rPr>
          <w:rFonts w:cstheme="minorHAnsi"/>
        </w:rPr>
        <w:t>creanțe (A)</w:t>
      </w:r>
    </w:p>
    <w:p w14:paraId="440ED568" w14:textId="77777777" w:rsidR="00347F24" w:rsidRDefault="00347F24" w:rsidP="00347F24">
      <w:pPr>
        <w:pStyle w:val="Listparagraf"/>
        <w:numPr>
          <w:ilvl w:val="0"/>
          <w:numId w:val="3"/>
        </w:numPr>
        <w:spacing w:before="120" w:after="120" w:line="240" w:lineRule="auto"/>
        <w:jc w:val="both"/>
        <w:rPr>
          <w:rFonts w:cstheme="minorHAnsi"/>
        </w:rPr>
      </w:pPr>
      <w:r>
        <w:rPr>
          <w:rFonts w:cstheme="minorHAnsi"/>
        </w:rPr>
        <w:t>vânzări anuale (B)</w:t>
      </w:r>
    </w:p>
    <w:p w14:paraId="081DC011" w14:textId="77777777" w:rsidR="00347F24" w:rsidRDefault="00347F24" w:rsidP="00347F24">
      <w:pPr>
        <w:shd w:val="clear" w:color="auto" w:fill="C9C9C9"/>
        <w:rPr>
          <w:rFonts w:cstheme="minorHAnsi"/>
          <w:b/>
          <w:color w:val="FFFFFF"/>
          <w:shd w:val="clear" w:color="auto" w:fill="C9C9C9"/>
        </w:rPr>
      </w:pPr>
      <m:oMath>
        <m:r>
          <m:rPr>
            <m:sty m:val="b"/>
          </m:rPr>
          <w:rPr>
            <w:rFonts w:ascii="Cambria Math" w:hAnsi="Cambria Math" w:cs="Calibri Light"/>
            <w:color w:val="FFFFFF"/>
            <w:shd w:val="clear" w:color="auto" w:fill="C9C9C9"/>
          </w:rPr>
          <m:t>Perioada de încasare a creanțelor=</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 xml:space="preserve">A </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m:t>
        </m:r>
      </m:oMath>
      <w:r>
        <w:rPr>
          <w:rFonts w:cstheme="minorHAnsi"/>
          <w:b/>
          <w:color w:val="FFFFFF"/>
          <w:shd w:val="clear" w:color="auto" w:fill="C9C9C9"/>
        </w:rPr>
        <w:t>x 365</w:t>
      </w:r>
    </w:p>
    <w:p w14:paraId="785DF203" w14:textId="77777777" w:rsidR="00347F24" w:rsidRDefault="00347F24" w:rsidP="00347F24">
      <w:pPr>
        <w:rPr>
          <w:rFonts w:cstheme="minorHAnsi"/>
        </w:rPr>
      </w:pPr>
      <w:bookmarkStart w:id="47" w:name="_Toc1544706"/>
    </w:p>
    <w:p w14:paraId="471A52E1" w14:textId="77777777" w:rsidR="00347F24" w:rsidRDefault="00347F24" w:rsidP="00347F24">
      <w:pPr>
        <w:rPr>
          <w:rFonts w:cstheme="minorHAnsi"/>
        </w:rPr>
      </w:pPr>
    </w:p>
    <w:p w14:paraId="57EA49E5" w14:textId="77777777" w:rsidR="00347F24" w:rsidRDefault="00347F24" w:rsidP="00347F24">
      <w:pPr>
        <w:rPr>
          <w:rFonts w:cstheme="minorHAnsi"/>
        </w:rPr>
      </w:pPr>
    </w:p>
    <w:p w14:paraId="5221ACF5" w14:textId="77777777" w:rsidR="00347F24" w:rsidRDefault="00347F24" w:rsidP="00347F24">
      <w:pPr>
        <w:rPr>
          <w:rFonts w:cstheme="minorHAnsi"/>
        </w:rPr>
      </w:pPr>
    </w:p>
    <w:p w14:paraId="70F519E1" w14:textId="77777777" w:rsidR="00347F24" w:rsidRDefault="00347F24" w:rsidP="00347F24">
      <w:pPr>
        <w:pStyle w:val="Titlu2"/>
        <w:rPr>
          <w:rFonts w:asciiTheme="minorHAnsi" w:hAnsiTheme="minorHAnsi" w:cstheme="minorHAnsi"/>
          <w:color w:val="auto"/>
          <w:sz w:val="22"/>
          <w:szCs w:val="22"/>
        </w:rPr>
      </w:pPr>
      <w:bookmarkStart w:id="48" w:name="_Toc17277231"/>
      <w:bookmarkStart w:id="49" w:name="_Toc38364032"/>
      <w:bookmarkStart w:id="50" w:name="_Toc40171758"/>
      <w:bookmarkStart w:id="51" w:name="_Toc48730347"/>
      <w:bookmarkStart w:id="52" w:name="_Toc123990430"/>
      <w:bookmarkStart w:id="53" w:name="_Toc123999830"/>
      <w:bookmarkStart w:id="54" w:name="_Toc126769747"/>
      <w:bookmarkStart w:id="55" w:name="_Toc128571306"/>
      <w:bookmarkStart w:id="56" w:name="_Toc159505184"/>
      <w:bookmarkStart w:id="57" w:name="_Toc159506261"/>
      <w:bookmarkStart w:id="58" w:name="_Toc159511979"/>
      <w:r>
        <w:rPr>
          <w:rFonts w:asciiTheme="minorHAnsi" w:hAnsiTheme="minorHAnsi" w:cstheme="minorHAnsi"/>
          <w:color w:val="auto"/>
          <w:sz w:val="22"/>
          <w:szCs w:val="22"/>
        </w:rPr>
        <w:t>1.4 Gradul de utilizare a fondurilor proprii</w:t>
      </w:r>
      <w:bookmarkEnd w:id="48"/>
      <w:bookmarkEnd w:id="49"/>
      <w:bookmarkEnd w:id="50"/>
      <w:bookmarkEnd w:id="51"/>
      <w:bookmarkEnd w:id="52"/>
      <w:bookmarkEnd w:id="53"/>
      <w:bookmarkEnd w:id="54"/>
      <w:bookmarkEnd w:id="55"/>
      <w:bookmarkEnd w:id="56"/>
      <w:bookmarkEnd w:id="57"/>
      <w:bookmarkEnd w:id="58"/>
    </w:p>
    <w:p w14:paraId="05EEB5A4" w14:textId="77777777" w:rsidR="00347F24" w:rsidRDefault="00347F24" w:rsidP="00347F24">
      <w:pPr>
        <w:rPr>
          <w:rFonts w:cstheme="minorHAnsi"/>
        </w:rPr>
      </w:pPr>
      <w:r>
        <w:rPr>
          <w:rFonts w:cstheme="minorHAnsi"/>
        </w:rPr>
        <w:t>Nivelul anual al utilizării fondurilor proprii reflectă gradul de realizare a investițiilor și de rambursare a împrumuturilor, comparativ cu EBIDTA generată. Este de recomandat ca valoarea acestui indicator să fie de minim 70%.</w:t>
      </w:r>
    </w:p>
    <w:p w14:paraId="31BB1372" w14:textId="77777777" w:rsidR="00347F24" w:rsidRDefault="00347F24" w:rsidP="00347F24">
      <w:pPr>
        <w:rPr>
          <w:rFonts w:cstheme="minorHAnsi"/>
        </w:rPr>
      </w:pPr>
      <w:r>
        <w:rPr>
          <w:rFonts w:cstheme="minorHAnsi"/>
        </w:rPr>
        <w:t>Acest indicator se calculează considerând următoarele elemente:</w:t>
      </w:r>
    </w:p>
    <w:p w14:paraId="70E5BF19" w14:textId="77777777" w:rsidR="00347F24" w:rsidRDefault="00347F24" w:rsidP="00347F24">
      <w:pPr>
        <w:pStyle w:val="Listparagraf"/>
        <w:numPr>
          <w:ilvl w:val="0"/>
          <w:numId w:val="3"/>
        </w:numPr>
        <w:spacing w:before="120" w:after="120" w:line="240" w:lineRule="auto"/>
        <w:jc w:val="both"/>
        <w:rPr>
          <w:rFonts w:cstheme="minorHAnsi"/>
        </w:rPr>
      </w:pPr>
      <w:r>
        <w:rPr>
          <w:rFonts w:cstheme="minorHAnsi"/>
        </w:rPr>
        <w:t>investiții realizate din fonduri proprii + rambursare împrumut (A)</w:t>
      </w:r>
    </w:p>
    <w:p w14:paraId="38E1153F" w14:textId="77777777" w:rsidR="00347F24" w:rsidRDefault="00347F24" w:rsidP="00347F24">
      <w:pPr>
        <w:pStyle w:val="Listparagraf"/>
        <w:numPr>
          <w:ilvl w:val="0"/>
          <w:numId w:val="3"/>
        </w:numPr>
        <w:spacing w:before="120" w:after="120" w:line="240" w:lineRule="auto"/>
        <w:jc w:val="both"/>
        <w:rPr>
          <w:rFonts w:cstheme="minorHAnsi"/>
        </w:rPr>
      </w:pPr>
      <w:r>
        <w:rPr>
          <w:rFonts w:cstheme="minorHAnsi"/>
        </w:rPr>
        <w:t>EBIDTA (B)</w:t>
      </w:r>
    </w:p>
    <w:p w14:paraId="2DF8F2C5"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Gradul de utilizare a fondurilor proprii=</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x 100 </m:t>
          </m:r>
        </m:oMath>
      </m:oMathPara>
    </w:p>
    <w:p w14:paraId="42864416" w14:textId="77777777" w:rsidR="00347F24" w:rsidRDefault="00347F24" w:rsidP="00347F24">
      <w:pPr>
        <w:rPr>
          <w:rFonts w:cstheme="minorHAnsi"/>
        </w:rPr>
      </w:pPr>
    </w:p>
    <w:p w14:paraId="33EED5A3" w14:textId="77777777" w:rsidR="00347F24" w:rsidRDefault="00347F24" w:rsidP="00347F24">
      <w:pPr>
        <w:rPr>
          <w:rFonts w:cstheme="minorHAnsi"/>
        </w:rPr>
      </w:pPr>
      <w:r>
        <w:rPr>
          <w:rFonts w:cstheme="minorHAnsi"/>
        </w:rPr>
        <w:br w:type="page"/>
      </w:r>
    </w:p>
    <w:p w14:paraId="6C86994A" w14:textId="77777777" w:rsidR="00347F24" w:rsidRDefault="00347F24" w:rsidP="00347F24">
      <w:pPr>
        <w:pStyle w:val="Titlu1"/>
        <w:pBdr>
          <w:bottom w:val="single" w:sz="4" w:space="1" w:color="auto"/>
        </w:pBdr>
        <w:rPr>
          <w:rFonts w:asciiTheme="minorHAnsi" w:hAnsiTheme="minorHAnsi" w:cstheme="minorHAnsi"/>
          <w:color w:val="auto"/>
          <w:sz w:val="22"/>
          <w:szCs w:val="22"/>
        </w:rPr>
      </w:pPr>
      <w:bookmarkStart w:id="59" w:name="_Toc17277232"/>
      <w:bookmarkStart w:id="60" w:name="_Toc38364034"/>
      <w:bookmarkStart w:id="61" w:name="_Toc40171760"/>
      <w:bookmarkStart w:id="62" w:name="_Toc48730349"/>
      <w:bookmarkStart w:id="63" w:name="_Toc123990432"/>
      <w:bookmarkStart w:id="64" w:name="_Toc123999832"/>
      <w:bookmarkStart w:id="65" w:name="_Toc126769748"/>
      <w:bookmarkStart w:id="66" w:name="_Toc128571307"/>
      <w:bookmarkStart w:id="67" w:name="_Toc159505185"/>
      <w:bookmarkStart w:id="68" w:name="_Toc159506262"/>
      <w:bookmarkStart w:id="69" w:name="_Toc159511980"/>
      <w:r>
        <w:rPr>
          <w:rFonts w:asciiTheme="minorHAnsi" w:hAnsiTheme="minorHAnsi" w:cstheme="minorHAnsi"/>
          <w:color w:val="auto"/>
          <w:sz w:val="22"/>
          <w:szCs w:val="22"/>
        </w:rPr>
        <w:lastRenderedPageBreak/>
        <w:t>INDICATORI PRIVIND EFICIENȚA OPERAȚIONAL</w:t>
      </w:r>
      <w:bookmarkEnd w:id="35"/>
      <w:bookmarkEnd w:id="47"/>
      <w:r>
        <w:rPr>
          <w:rFonts w:asciiTheme="minorHAnsi" w:hAnsiTheme="minorHAnsi" w:cstheme="minorHAnsi"/>
          <w:color w:val="auto"/>
          <w:sz w:val="22"/>
          <w:szCs w:val="22"/>
        </w:rPr>
        <w:t>Ă</w:t>
      </w:r>
      <w:bookmarkEnd w:id="59"/>
      <w:bookmarkEnd w:id="60"/>
      <w:bookmarkEnd w:id="61"/>
      <w:bookmarkEnd w:id="62"/>
      <w:bookmarkEnd w:id="63"/>
      <w:bookmarkEnd w:id="64"/>
      <w:bookmarkEnd w:id="65"/>
      <w:bookmarkEnd w:id="66"/>
      <w:bookmarkEnd w:id="67"/>
      <w:bookmarkEnd w:id="68"/>
      <w:bookmarkEnd w:id="69"/>
    </w:p>
    <w:p w14:paraId="02B3AC3D" w14:textId="77777777" w:rsidR="00347F24" w:rsidRDefault="00347F24" w:rsidP="00347F24">
      <w:pPr>
        <w:pStyle w:val="Listparagraf"/>
        <w:numPr>
          <w:ilvl w:val="0"/>
          <w:numId w:val="4"/>
        </w:numPr>
        <w:spacing w:before="240" w:after="240" w:line="240" w:lineRule="auto"/>
        <w:ind w:left="360"/>
        <w:jc w:val="both"/>
        <w:rPr>
          <w:rFonts w:cstheme="minorHAnsi"/>
          <w:b/>
        </w:rPr>
      </w:pPr>
      <w:bookmarkStart w:id="70" w:name="_Toc1544674"/>
      <w:bookmarkStart w:id="71" w:name="_Toc1544688"/>
      <w:bookmarkStart w:id="72" w:name="_Toc1544707"/>
      <w:bookmarkStart w:id="73" w:name="_Toc1544773"/>
      <w:bookmarkStart w:id="74" w:name="_Toc1634065"/>
      <w:bookmarkStart w:id="75" w:name="_Toc1637123"/>
      <w:bookmarkStart w:id="76" w:name="_Toc1637256"/>
      <w:bookmarkStart w:id="77" w:name="_Toc8627987"/>
      <w:bookmarkStart w:id="78" w:name="_Toc8628153"/>
      <w:bookmarkStart w:id="79" w:name="_Toc8628215"/>
      <w:bookmarkStart w:id="80" w:name="_Toc8632342"/>
      <w:bookmarkStart w:id="81" w:name="_Toc8633392"/>
      <w:bookmarkStart w:id="82" w:name="_Toc8670869"/>
      <w:bookmarkStart w:id="83" w:name="_Toc8670917"/>
      <w:bookmarkStart w:id="84" w:name="_Toc8671029"/>
      <w:bookmarkStart w:id="85" w:name="_Toc8671075"/>
      <w:bookmarkStart w:id="86" w:name="_Toc8671127"/>
      <w:bookmarkStart w:id="87" w:name="_Toc8671184"/>
      <w:bookmarkStart w:id="88" w:name="_Toc8732534"/>
      <w:bookmarkStart w:id="89" w:name="_Toc8732563"/>
      <w:bookmarkStart w:id="90" w:name="_Toc13230739"/>
      <w:bookmarkStart w:id="91" w:name="_Toc15294053"/>
      <w:bookmarkStart w:id="92" w:name="_Toc15294110"/>
      <w:bookmarkStart w:id="93" w:name="_Toc15294551"/>
      <w:bookmarkStart w:id="94" w:name="_Toc15294574"/>
      <w:bookmarkStart w:id="95" w:name="_Toc15295328"/>
      <w:bookmarkStart w:id="96" w:name="_Toc15295612"/>
      <w:bookmarkStart w:id="97" w:name="_Toc16589272"/>
      <w:bookmarkStart w:id="98" w:name="_Toc16589350"/>
      <w:bookmarkStart w:id="99" w:name="_Toc1544675"/>
      <w:bookmarkStart w:id="100" w:name="_Toc1544689"/>
      <w:bookmarkStart w:id="101" w:name="_Toc1544708"/>
      <w:bookmarkStart w:id="102" w:name="_Toc1544774"/>
      <w:bookmarkStart w:id="103" w:name="_Toc1634066"/>
      <w:bookmarkStart w:id="104" w:name="_Toc1637124"/>
      <w:bookmarkStart w:id="105" w:name="_Toc1637257"/>
      <w:bookmarkStart w:id="106" w:name="_Toc8627988"/>
      <w:bookmarkStart w:id="107" w:name="_Toc8628154"/>
      <w:bookmarkStart w:id="108" w:name="_Toc8628216"/>
      <w:bookmarkStart w:id="109" w:name="_Toc8632343"/>
      <w:bookmarkStart w:id="110" w:name="_Toc8633393"/>
      <w:bookmarkStart w:id="111" w:name="_Toc8670870"/>
      <w:bookmarkStart w:id="112" w:name="_Toc8670918"/>
      <w:bookmarkStart w:id="113" w:name="_Toc8671030"/>
      <w:bookmarkStart w:id="114" w:name="_Toc8671076"/>
      <w:bookmarkStart w:id="115" w:name="_Toc8671128"/>
      <w:bookmarkStart w:id="116" w:name="_Toc8671185"/>
      <w:bookmarkStart w:id="117" w:name="_Toc8732535"/>
      <w:bookmarkStart w:id="118" w:name="_Toc8732564"/>
      <w:bookmarkStart w:id="119" w:name="_Toc13230740"/>
      <w:bookmarkStart w:id="120" w:name="_Toc15294054"/>
      <w:bookmarkStart w:id="121" w:name="_Toc15294111"/>
      <w:bookmarkStart w:id="122" w:name="_Toc15294552"/>
      <w:bookmarkStart w:id="123" w:name="_Toc15294575"/>
      <w:bookmarkStart w:id="124" w:name="_Toc15295329"/>
      <w:bookmarkStart w:id="125" w:name="_Toc15295613"/>
      <w:bookmarkStart w:id="126" w:name="_Toc16589273"/>
      <w:bookmarkStart w:id="127" w:name="_Toc16589351"/>
      <w:bookmarkStart w:id="128" w:name="_Toc1544710"/>
      <w:bookmarkStart w:id="129" w:name="_Hlk2352583"/>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Pr>
          <w:rFonts w:cstheme="minorHAnsi"/>
          <w:b/>
        </w:rPr>
        <w:t xml:space="preserve">Calitate servicii </w:t>
      </w:r>
      <w:bookmarkEnd w:id="128"/>
    </w:p>
    <w:p w14:paraId="41E3597B" w14:textId="77777777" w:rsidR="00347F24" w:rsidRDefault="00347F24" w:rsidP="00347F24">
      <w:pPr>
        <w:pStyle w:val="Titlu2"/>
        <w:rPr>
          <w:rFonts w:asciiTheme="minorHAnsi" w:hAnsiTheme="minorHAnsi" w:cstheme="minorHAnsi"/>
          <w:color w:val="auto"/>
          <w:sz w:val="22"/>
          <w:szCs w:val="22"/>
        </w:rPr>
      </w:pPr>
      <w:bookmarkStart w:id="130" w:name="_Toc17277233"/>
      <w:bookmarkStart w:id="131" w:name="_Toc38364035"/>
      <w:bookmarkStart w:id="132" w:name="_Toc40171761"/>
      <w:bookmarkStart w:id="133" w:name="_Toc48730350"/>
      <w:bookmarkStart w:id="134" w:name="_Toc123990433"/>
      <w:bookmarkStart w:id="135" w:name="_Toc123999833"/>
      <w:bookmarkStart w:id="136" w:name="_Toc126769749"/>
      <w:bookmarkStart w:id="137" w:name="_Toc128571308"/>
      <w:bookmarkStart w:id="138" w:name="_Toc159505186"/>
      <w:bookmarkStart w:id="139" w:name="_Toc159506263"/>
      <w:bookmarkStart w:id="140" w:name="_Toc159511981"/>
      <w:r>
        <w:rPr>
          <w:rFonts w:asciiTheme="minorHAnsi" w:hAnsiTheme="minorHAnsi" w:cstheme="minorHAnsi"/>
          <w:color w:val="auto"/>
          <w:sz w:val="22"/>
          <w:szCs w:val="22"/>
        </w:rPr>
        <w:t>2.1 Conformarea cu calitatea apei potabile pentru fiecare UAT</w:t>
      </w:r>
      <w:bookmarkEnd w:id="130"/>
      <w:bookmarkEnd w:id="131"/>
      <w:bookmarkEnd w:id="132"/>
      <w:bookmarkEnd w:id="133"/>
      <w:bookmarkEnd w:id="134"/>
      <w:bookmarkEnd w:id="135"/>
      <w:bookmarkEnd w:id="136"/>
      <w:bookmarkEnd w:id="137"/>
      <w:bookmarkEnd w:id="138"/>
      <w:bookmarkEnd w:id="139"/>
      <w:bookmarkEnd w:id="140"/>
    </w:p>
    <w:p w14:paraId="49EC9BCD" w14:textId="77777777" w:rsidR="00347F24" w:rsidRDefault="00347F24" w:rsidP="00347F24">
      <w:pPr>
        <w:rPr>
          <w:rFonts w:cstheme="minorHAnsi"/>
        </w:rPr>
      </w:pPr>
      <w:r>
        <w:rPr>
          <w:rFonts w:cstheme="minorHAnsi"/>
        </w:rPr>
        <w:t>Acest indicator se calculează considerând următoarele elemente:</w:t>
      </w:r>
    </w:p>
    <w:p w14:paraId="1521E955" w14:textId="77777777" w:rsidR="00347F24" w:rsidRDefault="00347F24" w:rsidP="00347F24">
      <w:pPr>
        <w:pStyle w:val="Listparagraf"/>
        <w:numPr>
          <w:ilvl w:val="0"/>
          <w:numId w:val="5"/>
        </w:numPr>
        <w:spacing w:line="240" w:lineRule="auto"/>
        <w:jc w:val="both"/>
        <w:rPr>
          <w:rFonts w:cstheme="minorHAnsi"/>
        </w:rPr>
      </w:pPr>
      <w:r>
        <w:rPr>
          <w:rFonts w:cstheme="minorHAnsi"/>
        </w:rPr>
        <w:t>numărul de teste de apă (fizico-chimice) pe an care sunt conforme cu standardele de calitate (A)</w:t>
      </w:r>
    </w:p>
    <w:p w14:paraId="51011DE5" w14:textId="77777777" w:rsidR="00347F24" w:rsidRDefault="00347F24" w:rsidP="00347F24">
      <w:pPr>
        <w:pStyle w:val="Listparagraf"/>
        <w:numPr>
          <w:ilvl w:val="0"/>
          <w:numId w:val="5"/>
        </w:numPr>
        <w:spacing w:line="240" w:lineRule="auto"/>
        <w:jc w:val="both"/>
        <w:rPr>
          <w:rFonts w:cstheme="minorHAnsi"/>
        </w:rPr>
      </w:pPr>
      <w:r>
        <w:rPr>
          <w:rFonts w:cstheme="minorHAnsi"/>
        </w:rPr>
        <w:t>totalul testelor (fizico-chimice) prelevate într-un an (B)</w:t>
      </w:r>
    </w:p>
    <w:p w14:paraId="32E4C6FD"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Conformarea cu calitatea apei potabile pentru fiecare UAT </m:t>
          </m:r>
          <m:d>
            <m:dPr>
              <m:ctrlPr>
                <w:rPr>
                  <w:rFonts w:ascii="Cambria Math" w:hAnsi="Cambria Math" w:cs="Calibri Light"/>
                  <w:b/>
                  <w:color w:val="FFFFFF"/>
                  <w:shd w:val="clear" w:color="auto" w:fill="C9C9C9"/>
                </w:rPr>
              </m:ctrlPr>
            </m:dPr>
            <m:e>
              <m:r>
                <m:rPr>
                  <m:sty m:val="b"/>
                </m:rPr>
                <w:rPr>
                  <w:rFonts w:ascii="Cambria Math" w:hAnsi="Cambria Math" w:cs="Calibri Light"/>
                  <w:color w:val="FFFFFF"/>
                  <w:shd w:val="clear" w:color="auto" w:fill="C9C9C9"/>
                </w:rPr>
                <m:t>%</m:t>
              </m:r>
            </m:e>
          </m:d>
          <m:r>
            <m:rPr>
              <m:sty m:val="b"/>
            </m:rPr>
            <w:rPr>
              <w:rFonts w:ascii="Cambria Math" w:hAnsi="Cambria Math" w:cs="Calibri Light"/>
              <w:color w:val="FFFFFF"/>
              <w:shd w:val="clear" w:color="auto" w:fill="C9C9C9"/>
            </w:rPr>
            <m:t>=</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 </m:t>
          </m:r>
        </m:oMath>
      </m:oMathPara>
    </w:p>
    <w:p w14:paraId="0DB2A7DD" w14:textId="77777777" w:rsidR="00347F24" w:rsidRDefault="00347F24" w:rsidP="00347F24">
      <w:pPr>
        <w:rPr>
          <w:rFonts w:cstheme="minorHAnsi"/>
        </w:rPr>
      </w:pPr>
    </w:p>
    <w:p w14:paraId="19DE757F" w14:textId="77777777" w:rsidR="00347F24" w:rsidRDefault="00347F24" w:rsidP="00347F24">
      <w:pPr>
        <w:pStyle w:val="Titlu2"/>
        <w:rPr>
          <w:rFonts w:asciiTheme="minorHAnsi" w:hAnsiTheme="minorHAnsi" w:cstheme="minorHAnsi"/>
          <w:color w:val="auto"/>
          <w:sz w:val="22"/>
          <w:szCs w:val="22"/>
        </w:rPr>
      </w:pPr>
      <w:bookmarkStart w:id="141" w:name="_Toc17277234"/>
      <w:bookmarkStart w:id="142" w:name="_Toc38364036"/>
      <w:bookmarkStart w:id="143" w:name="_Toc40171762"/>
      <w:bookmarkStart w:id="144" w:name="_Toc48730351"/>
      <w:bookmarkStart w:id="145" w:name="_Toc123990434"/>
      <w:bookmarkStart w:id="146" w:name="_Toc123999834"/>
      <w:bookmarkStart w:id="147" w:name="_Toc126769750"/>
      <w:bookmarkStart w:id="148" w:name="_Toc128571309"/>
      <w:bookmarkStart w:id="149" w:name="_Toc159505187"/>
      <w:bookmarkStart w:id="150" w:name="_Toc159506264"/>
      <w:bookmarkStart w:id="151" w:name="_Toc159511982"/>
      <w:r>
        <w:rPr>
          <w:rFonts w:asciiTheme="minorHAnsi" w:hAnsiTheme="minorHAnsi" w:cstheme="minorHAnsi"/>
          <w:color w:val="auto"/>
          <w:sz w:val="22"/>
          <w:szCs w:val="22"/>
        </w:rPr>
        <w:t>2.2 Conformarea cu calitatea apei uzate epurate pentru fiecare aglomerare sau cluster</w:t>
      </w:r>
      <w:bookmarkEnd w:id="141"/>
      <w:bookmarkEnd w:id="142"/>
      <w:bookmarkEnd w:id="143"/>
      <w:bookmarkEnd w:id="144"/>
      <w:bookmarkEnd w:id="145"/>
      <w:bookmarkEnd w:id="146"/>
      <w:bookmarkEnd w:id="147"/>
      <w:bookmarkEnd w:id="148"/>
      <w:bookmarkEnd w:id="149"/>
      <w:bookmarkEnd w:id="150"/>
      <w:bookmarkEnd w:id="151"/>
    </w:p>
    <w:p w14:paraId="064E430F" w14:textId="77777777" w:rsidR="00347F24" w:rsidRDefault="00347F24" w:rsidP="00347F24">
      <w:pPr>
        <w:rPr>
          <w:rFonts w:cstheme="minorHAnsi"/>
        </w:rPr>
      </w:pPr>
      <w:r>
        <w:rPr>
          <w:rFonts w:cstheme="minorHAnsi"/>
        </w:rPr>
        <w:t>Acest indicator se calculează considerând următoarele elemente:</w:t>
      </w:r>
    </w:p>
    <w:p w14:paraId="036F5997" w14:textId="77777777" w:rsidR="00347F24" w:rsidRDefault="00347F24" w:rsidP="00347F24">
      <w:pPr>
        <w:pStyle w:val="Listparagraf"/>
        <w:numPr>
          <w:ilvl w:val="0"/>
          <w:numId w:val="5"/>
        </w:numPr>
        <w:spacing w:line="240" w:lineRule="auto"/>
        <w:jc w:val="both"/>
        <w:rPr>
          <w:rFonts w:cstheme="minorHAnsi"/>
        </w:rPr>
      </w:pPr>
      <w:r>
        <w:rPr>
          <w:rFonts w:cstheme="minorHAnsi"/>
        </w:rPr>
        <w:t>numărul de teste de apa epurată pe an care sunt conforme cu standardele de calitate (A)</w:t>
      </w:r>
    </w:p>
    <w:p w14:paraId="61CC9FBD" w14:textId="77777777" w:rsidR="00347F24" w:rsidRDefault="00347F24" w:rsidP="00347F24">
      <w:pPr>
        <w:pStyle w:val="Listparagraf"/>
        <w:numPr>
          <w:ilvl w:val="0"/>
          <w:numId w:val="5"/>
        </w:numPr>
        <w:spacing w:line="240" w:lineRule="auto"/>
        <w:jc w:val="both"/>
        <w:rPr>
          <w:rFonts w:cstheme="minorHAnsi"/>
        </w:rPr>
      </w:pPr>
      <w:r>
        <w:rPr>
          <w:rFonts w:cstheme="minorHAnsi"/>
        </w:rPr>
        <w:t>totalul testelor prelevate într-un an (B)</w:t>
      </w:r>
    </w:p>
    <w:p w14:paraId="0219041C"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Conformarea cu calitatea apei uzate epurate pentru fiecare aglomerare  </m:t>
          </m:r>
          <m:d>
            <m:dPr>
              <m:ctrlPr>
                <w:rPr>
                  <w:rFonts w:ascii="Cambria Math" w:hAnsi="Cambria Math" w:cs="Calibri Light"/>
                  <w:b/>
                  <w:color w:val="FFFFFF"/>
                  <w:shd w:val="clear" w:color="auto" w:fill="C9C9C9"/>
                </w:rPr>
              </m:ctrlPr>
            </m:dPr>
            <m:e>
              <m:r>
                <m:rPr>
                  <m:sty m:val="b"/>
                </m:rPr>
                <w:rPr>
                  <w:rFonts w:ascii="Cambria Math" w:hAnsi="Cambria Math" w:cs="Calibri Light"/>
                  <w:color w:val="FFFFFF"/>
                  <w:shd w:val="clear" w:color="auto" w:fill="C9C9C9"/>
                </w:rPr>
                <m:t>%</m:t>
              </m:r>
            </m:e>
          </m:d>
          <m:r>
            <m:rPr>
              <m:sty m:val="b"/>
            </m:rPr>
            <w:rPr>
              <w:rFonts w:ascii="Cambria Math" w:hAnsi="Cambria Math" w:cs="Calibri Light"/>
              <w:color w:val="FFFFFF"/>
              <w:shd w:val="clear" w:color="auto" w:fill="C9C9C9"/>
            </w:rPr>
            <m:t>=</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m:t>
          </m:r>
        </m:oMath>
      </m:oMathPara>
    </w:p>
    <w:p w14:paraId="14BF4F9C" w14:textId="77777777" w:rsidR="00347F24" w:rsidRDefault="00347F24" w:rsidP="00347F24">
      <w:pPr>
        <w:rPr>
          <w:rFonts w:cstheme="minorHAnsi"/>
        </w:rPr>
      </w:pPr>
      <w:bookmarkStart w:id="152" w:name="_Toc1544711"/>
    </w:p>
    <w:p w14:paraId="0A5DD850" w14:textId="77777777" w:rsidR="00347F24" w:rsidRDefault="00347F24" w:rsidP="00347F24">
      <w:pPr>
        <w:pStyle w:val="Listparagraf"/>
        <w:numPr>
          <w:ilvl w:val="0"/>
          <w:numId w:val="4"/>
        </w:numPr>
        <w:spacing w:before="240" w:after="240" w:line="240" w:lineRule="auto"/>
        <w:ind w:left="360"/>
        <w:jc w:val="both"/>
        <w:rPr>
          <w:rFonts w:cstheme="minorHAnsi"/>
          <w:b/>
        </w:rPr>
      </w:pPr>
      <w:r>
        <w:rPr>
          <w:rFonts w:cstheme="minorHAnsi"/>
          <w:b/>
        </w:rPr>
        <w:t>Acoperire servicii</w:t>
      </w:r>
      <w:bookmarkEnd w:id="152"/>
      <w:r>
        <w:rPr>
          <w:rFonts w:cstheme="minorHAnsi"/>
          <w:b/>
        </w:rPr>
        <w:t xml:space="preserve"> </w:t>
      </w:r>
    </w:p>
    <w:p w14:paraId="4D4027DD" w14:textId="77777777" w:rsidR="00347F24" w:rsidRDefault="00347F24" w:rsidP="00347F24">
      <w:pPr>
        <w:pStyle w:val="Titlu2"/>
        <w:rPr>
          <w:rFonts w:asciiTheme="minorHAnsi" w:hAnsiTheme="minorHAnsi" w:cstheme="minorHAnsi"/>
          <w:color w:val="auto"/>
          <w:sz w:val="22"/>
          <w:szCs w:val="22"/>
        </w:rPr>
      </w:pPr>
      <w:bookmarkStart w:id="153" w:name="_Toc17277235"/>
      <w:bookmarkStart w:id="154" w:name="_Toc38364037"/>
      <w:bookmarkStart w:id="155" w:name="_Toc40171763"/>
      <w:bookmarkStart w:id="156" w:name="_Toc48730352"/>
      <w:bookmarkStart w:id="157" w:name="_Toc123990435"/>
      <w:bookmarkStart w:id="158" w:name="_Toc123999835"/>
      <w:bookmarkStart w:id="159" w:name="_Toc126769751"/>
      <w:bookmarkStart w:id="160" w:name="_Toc128571310"/>
      <w:bookmarkStart w:id="161" w:name="_Toc159505188"/>
      <w:bookmarkStart w:id="162" w:name="_Toc159506265"/>
      <w:bookmarkStart w:id="163" w:name="_Toc159511983"/>
      <w:r>
        <w:rPr>
          <w:rFonts w:asciiTheme="minorHAnsi" w:hAnsiTheme="minorHAnsi" w:cstheme="minorHAnsi"/>
          <w:color w:val="auto"/>
          <w:sz w:val="22"/>
          <w:szCs w:val="22"/>
        </w:rPr>
        <w:t>2.3 Gradul de acces al populației la serviciul de apă</w:t>
      </w:r>
      <w:bookmarkEnd w:id="153"/>
      <w:bookmarkEnd w:id="154"/>
      <w:bookmarkEnd w:id="155"/>
      <w:bookmarkEnd w:id="156"/>
      <w:bookmarkEnd w:id="157"/>
      <w:bookmarkEnd w:id="158"/>
      <w:bookmarkEnd w:id="159"/>
      <w:bookmarkEnd w:id="160"/>
      <w:bookmarkEnd w:id="161"/>
      <w:bookmarkEnd w:id="162"/>
      <w:bookmarkEnd w:id="163"/>
    </w:p>
    <w:p w14:paraId="314628F8" w14:textId="77777777" w:rsidR="00347F24" w:rsidRDefault="00347F24" w:rsidP="00347F24">
      <w:pPr>
        <w:rPr>
          <w:rFonts w:cstheme="minorHAnsi"/>
        </w:rPr>
      </w:pPr>
      <w:r>
        <w:rPr>
          <w:rFonts w:cstheme="minorHAnsi"/>
        </w:rPr>
        <w:t>Gradul de acces al populației la serviciul de apă pe întreaga arie de operare este calculat considerând următoarele elemente:</w:t>
      </w:r>
    </w:p>
    <w:p w14:paraId="6B9E8A35" w14:textId="77777777" w:rsidR="00347F24" w:rsidRDefault="00347F24" w:rsidP="00347F24">
      <w:pPr>
        <w:pStyle w:val="Listparagraf"/>
        <w:numPr>
          <w:ilvl w:val="0"/>
          <w:numId w:val="6"/>
        </w:numPr>
        <w:jc w:val="both"/>
        <w:rPr>
          <w:rFonts w:cstheme="minorHAnsi"/>
        </w:rPr>
      </w:pPr>
      <w:r>
        <w:rPr>
          <w:rFonts w:cstheme="minorHAnsi"/>
        </w:rPr>
        <w:t>numărul de proprietăți casnice cu acces la serviciul de apă (proprietățile care au serviciul de apă pe strada unde sunt localizate, dar care pot fi sau nu branșate la acesta) (nr.) (A)</w:t>
      </w:r>
    </w:p>
    <w:p w14:paraId="3C290479" w14:textId="77777777" w:rsidR="00347F24" w:rsidRDefault="00347F24" w:rsidP="00347F24">
      <w:pPr>
        <w:pStyle w:val="Listparagraf"/>
        <w:numPr>
          <w:ilvl w:val="0"/>
          <w:numId w:val="6"/>
        </w:numPr>
        <w:jc w:val="both"/>
        <w:rPr>
          <w:rFonts w:cstheme="minorHAnsi"/>
        </w:rPr>
      </w:pPr>
      <w:r>
        <w:rPr>
          <w:rFonts w:cstheme="minorHAnsi"/>
        </w:rPr>
        <w:t>numărul total de proprietăți casnice din zona deservită (nr.) (B)</w:t>
      </w:r>
    </w:p>
    <w:p w14:paraId="0C9D5B1F"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Gradul de acces al populației la servicii de apă = </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m:t>
          </m:r>
        </m:oMath>
      </m:oMathPara>
    </w:p>
    <w:p w14:paraId="0BBD5A7B" w14:textId="77777777" w:rsidR="00347F24" w:rsidRDefault="00347F24" w:rsidP="00347F24">
      <w:pPr>
        <w:rPr>
          <w:rFonts w:cstheme="minorHAnsi"/>
        </w:rPr>
      </w:pPr>
    </w:p>
    <w:p w14:paraId="7A44C638" w14:textId="77777777" w:rsidR="00347F24" w:rsidRDefault="00347F24" w:rsidP="00347F24">
      <w:pPr>
        <w:pStyle w:val="Titlu2"/>
        <w:rPr>
          <w:rFonts w:asciiTheme="minorHAnsi" w:hAnsiTheme="minorHAnsi" w:cstheme="minorHAnsi"/>
          <w:color w:val="auto"/>
          <w:sz w:val="22"/>
          <w:szCs w:val="22"/>
        </w:rPr>
      </w:pPr>
      <w:bookmarkStart w:id="164" w:name="_Toc17277236"/>
      <w:bookmarkStart w:id="165" w:name="_Toc38364038"/>
      <w:bookmarkStart w:id="166" w:name="_Toc40171764"/>
      <w:bookmarkStart w:id="167" w:name="_Toc48730353"/>
      <w:bookmarkStart w:id="168" w:name="_Toc123990436"/>
      <w:bookmarkStart w:id="169" w:name="_Toc123999836"/>
      <w:bookmarkStart w:id="170" w:name="_Toc126769752"/>
      <w:bookmarkStart w:id="171" w:name="_Toc128571311"/>
      <w:bookmarkStart w:id="172" w:name="_Toc159505189"/>
      <w:bookmarkStart w:id="173" w:name="_Toc159506266"/>
      <w:bookmarkStart w:id="174" w:name="_Toc159511984"/>
      <w:r>
        <w:rPr>
          <w:rFonts w:asciiTheme="minorHAnsi" w:hAnsiTheme="minorHAnsi" w:cstheme="minorHAnsi"/>
          <w:color w:val="auto"/>
          <w:sz w:val="22"/>
          <w:szCs w:val="22"/>
        </w:rPr>
        <w:t>2.4 Gradul de acces al populației la servicii de canalizare pentru localități cu populație între 2.000 și 10.000 l.e</w:t>
      </w:r>
      <w:bookmarkEnd w:id="164"/>
      <w:bookmarkEnd w:id="165"/>
      <w:bookmarkEnd w:id="166"/>
      <w:bookmarkEnd w:id="167"/>
      <w:bookmarkEnd w:id="168"/>
      <w:bookmarkEnd w:id="169"/>
      <w:bookmarkEnd w:id="170"/>
      <w:bookmarkEnd w:id="171"/>
      <w:bookmarkEnd w:id="172"/>
      <w:bookmarkEnd w:id="173"/>
      <w:bookmarkEnd w:id="174"/>
    </w:p>
    <w:p w14:paraId="3B75529F" w14:textId="77777777" w:rsidR="00347F24" w:rsidRDefault="00347F24" w:rsidP="00347F24">
      <w:pPr>
        <w:rPr>
          <w:rFonts w:cstheme="minorHAnsi"/>
        </w:rPr>
      </w:pPr>
      <w:r>
        <w:rPr>
          <w:rFonts w:cstheme="minorHAnsi"/>
        </w:rPr>
        <w:t>Gradul de acces al populației la servicii de canalizare calculat considerând:</w:t>
      </w:r>
    </w:p>
    <w:p w14:paraId="1EEF7667" w14:textId="77777777" w:rsidR="00347F24" w:rsidRDefault="00347F24" w:rsidP="00347F24">
      <w:pPr>
        <w:pStyle w:val="Listparagraf"/>
        <w:numPr>
          <w:ilvl w:val="0"/>
          <w:numId w:val="7"/>
        </w:numPr>
        <w:jc w:val="both"/>
        <w:rPr>
          <w:rFonts w:cstheme="minorHAnsi"/>
        </w:rPr>
      </w:pPr>
      <w:r>
        <w:rPr>
          <w:rFonts w:cstheme="minorHAnsi"/>
        </w:rPr>
        <w:t>numărul de proprietăți casnice cu acces la serviciul de canalizare (proprietățile care au serviciul de canalizare pe strada unde sunt localizate, dar care pot fi sau nu racordate la acesta) (nr.) (A)</w:t>
      </w:r>
    </w:p>
    <w:p w14:paraId="639E22AF" w14:textId="77777777" w:rsidR="00347F24" w:rsidRDefault="00347F24" w:rsidP="00347F24">
      <w:pPr>
        <w:pStyle w:val="Listparagraf"/>
        <w:numPr>
          <w:ilvl w:val="0"/>
          <w:numId w:val="7"/>
        </w:numPr>
        <w:spacing w:after="120"/>
        <w:jc w:val="both"/>
        <w:rPr>
          <w:rFonts w:cstheme="minorHAnsi"/>
        </w:rPr>
      </w:pPr>
      <w:bookmarkStart w:id="175" w:name="_Hlk8648866"/>
      <w:r>
        <w:rPr>
          <w:rFonts w:cstheme="minorHAnsi"/>
        </w:rPr>
        <w:t>numărul total de proprietăți casnice din zona deservită (cumulat pentru toate localitățile cu populație între 2.000 și 10.000 l.e)</w:t>
      </w:r>
      <w:bookmarkEnd w:id="175"/>
      <w:r>
        <w:rPr>
          <w:rFonts w:cstheme="minorHAnsi"/>
        </w:rPr>
        <w:t xml:space="preserve"> (B)</w:t>
      </w:r>
    </w:p>
    <w:p w14:paraId="44A5888A"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 xml:space="preserve">Gradul de acces al populației la servicii de canalizare = </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m:t>
              </m:r>
            </m:num>
            <m:den>
              <m:r>
                <m:rPr>
                  <m:sty m:val="b"/>
                </m:rPr>
                <w:rPr>
                  <w:rFonts w:ascii="Cambria Math" w:hAnsi="Cambria Math" w:cs="Calibri Light"/>
                  <w:color w:val="FFFFFF"/>
                  <w:shd w:val="clear" w:color="auto" w:fill="C9C9C9"/>
                </w:rPr>
                <m:t>B</m:t>
              </m:r>
            </m:den>
          </m:f>
          <m:r>
            <m:rPr>
              <m:sty m:val="b"/>
            </m:rPr>
            <w:rPr>
              <w:rFonts w:ascii="Cambria Math" w:hAnsi="Cambria Math" w:cs="Calibri Light"/>
              <w:color w:val="FFFFFF"/>
              <w:shd w:val="clear" w:color="auto" w:fill="C9C9C9"/>
            </w:rPr>
            <m:t xml:space="preserve"> ×100</m:t>
          </m:r>
        </m:oMath>
      </m:oMathPara>
    </w:p>
    <w:p w14:paraId="1D73DE5E" w14:textId="77777777" w:rsidR="00347F24" w:rsidRDefault="00347F24" w:rsidP="00347F24">
      <w:pPr>
        <w:pStyle w:val="Titlu2"/>
        <w:rPr>
          <w:rFonts w:asciiTheme="minorHAnsi" w:hAnsiTheme="minorHAnsi" w:cstheme="minorHAnsi"/>
          <w:color w:val="auto"/>
          <w:sz w:val="22"/>
          <w:szCs w:val="22"/>
        </w:rPr>
      </w:pPr>
      <w:bookmarkStart w:id="176" w:name="_Toc17277237"/>
      <w:bookmarkStart w:id="177" w:name="_Toc38364039"/>
      <w:bookmarkStart w:id="178" w:name="_Toc40171765"/>
      <w:bookmarkStart w:id="179" w:name="_Toc48730354"/>
      <w:bookmarkStart w:id="180" w:name="_Toc123990437"/>
      <w:bookmarkStart w:id="181" w:name="_Toc123999837"/>
      <w:bookmarkStart w:id="182" w:name="_Toc126769753"/>
      <w:bookmarkStart w:id="183" w:name="_Toc128571312"/>
      <w:bookmarkStart w:id="184" w:name="_Toc159505190"/>
      <w:bookmarkStart w:id="185" w:name="_Toc159506267"/>
      <w:bookmarkStart w:id="186" w:name="_Toc159511985"/>
      <w:r>
        <w:rPr>
          <w:rFonts w:asciiTheme="minorHAnsi" w:hAnsiTheme="minorHAnsi" w:cstheme="minorHAnsi"/>
          <w:color w:val="auto"/>
          <w:sz w:val="22"/>
          <w:szCs w:val="22"/>
        </w:rPr>
        <w:t>2.5 Gradul de acces al populației la servicii de canalizare pentru localități cu populație de peste 10.000 l.e</w:t>
      </w:r>
      <w:bookmarkEnd w:id="176"/>
      <w:bookmarkEnd w:id="177"/>
      <w:bookmarkEnd w:id="178"/>
      <w:bookmarkEnd w:id="179"/>
      <w:bookmarkEnd w:id="180"/>
      <w:bookmarkEnd w:id="181"/>
      <w:bookmarkEnd w:id="182"/>
      <w:bookmarkEnd w:id="183"/>
      <w:bookmarkEnd w:id="184"/>
      <w:bookmarkEnd w:id="185"/>
      <w:bookmarkEnd w:id="186"/>
    </w:p>
    <w:p w14:paraId="01267386" w14:textId="77777777" w:rsidR="00347F24" w:rsidRDefault="00347F24" w:rsidP="00347F24">
      <w:pPr>
        <w:rPr>
          <w:rFonts w:cstheme="minorHAnsi"/>
        </w:rPr>
      </w:pPr>
      <w:r>
        <w:rPr>
          <w:rFonts w:cstheme="minorHAnsi"/>
        </w:rPr>
        <w:t>Gradul de acces al populației la servicii de canalizare calculat considerând:</w:t>
      </w:r>
    </w:p>
    <w:p w14:paraId="3B2A9813" w14:textId="77777777" w:rsidR="00347F24" w:rsidRDefault="00347F24" w:rsidP="00347F24">
      <w:pPr>
        <w:pStyle w:val="Listparagraf"/>
        <w:numPr>
          <w:ilvl w:val="0"/>
          <w:numId w:val="7"/>
        </w:numPr>
        <w:jc w:val="both"/>
        <w:rPr>
          <w:rFonts w:cstheme="minorHAnsi"/>
        </w:rPr>
      </w:pPr>
      <w:r>
        <w:rPr>
          <w:rFonts w:cstheme="minorHAnsi"/>
        </w:rPr>
        <w:lastRenderedPageBreak/>
        <w:t>numărul de proprietăți casnice cu acces la serviciul de canalizare (proprietățile care au serviciul de canalizare pe strada unde sunt localizate, dar care pot fi sau nu racordate la acesta) (nr.) (A)</w:t>
      </w:r>
    </w:p>
    <w:p w14:paraId="6C18D3D0" w14:textId="77777777" w:rsidR="00347F24" w:rsidRDefault="00347F24" w:rsidP="00347F24">
      <w:pPr>
        <w:pStyle w:val="Listparagraf"/>
        <w:numPr>
          <w:ilvl w:val="0"/>
          <w:numId w:val="7"/>
        </w:numPr>
        <w:spacing w:after="120"/>
        <w:jc w:val="both"/>
        <w:rPr>
          <w:rFonts w:cstheme="minorHAnsi"/>
        </w:rPr>
      </w:pPr>
      <w:r>
        <w:rPr>
          <w:rFonts w:cstheme="minorHAnsi"/>
        </w:rPr>
        <w:t>numărul total de proprietăți casnice din zona deservită (cumulat pentru toate localitățile cu populație peste 10.000 l.e) (B)</w:t>
      </w:r>
    </w:p>
    <w:p w14:paraId="0F82BFBC" w14:textId="77777777" w:rsidR="00347F24" w:rsidRDefault="00347F24" w:rsidP="00347F24">
      <w:pPr>
        <w:shd w:val="clear" w:color="auto" w:fill="D9D9D9"/>
        <w:spacing w:before="240" w:after="240"/>
        <w:rPr>
          <w:rFonts w:cstheme="minorHAnsi"/>
          <w:b/>
        </w:rPr>
      </w:pPr>
      <m:oMathPara>
        <m:oMath>
          <m:r>
            <m:rPr>
              <m:sty m:val="b"/>
            </m:rPr>
            <w:rPr>
              <w:rFonts w:ascii="Cambria Math" w:hAnsi="Cambria Math" w:cs="Calibri Light"/>
              <w:color w:val="FFFFFF"/>
              <w:shd w:val="clear" w:color="auto" w:fill="D9D9D9"/>
            </w:rPr>
            <m:t xml:space="preserve">Gradul de acces al populației la servicii de canalizare = </m:t>
          </m:r>
          <m:f>
            <m:fPr>
              <m:ctrlPr>
                <w:rPr>
                  <w:rFonts w:ascii="Cambria Math" w:hAnsi="Cambria Math" w:cs="Calibri Light"/>
                  <w:b/>
                  <w:color w:val="FFFFFF"/>
                  <w:shd w:val="clear" w:color="auto" w:fill="D9D9D9"/>
                </w:rPr>
              </m:ctrlPr>
            </m:fPr>
            <m:num>
              <m:r>
                <m:rPr>
                  <m:sty m:val="b"/>
                </m:rPr>
                <w:rPr>
                  <w:rFonts w:ascii="Cambria Math" w:hAnsi="Cambria Math" w:cs="Calibri Light"/>
                  <w:color w:val="FFFFFF"/>
                  <w:shd w:val="clear" w:color="auto" w:fill="D9D9D9"/>
                </w:rPr>
                <m:t>A</m:t>
              </m:r>
            </m:num>
            <m:den>
              <m:r>
                <m:rPr>
                  <m:sty m:val="b"/>
                </m:rPr>
                <w:rPr>
                  <w:rFonts w:ascii="Cambria Math" w:hAnsi="Cambria Math" w:cs="Calibri Light"/>
                  <w:color w:val="FFFFFF"/>
                  <w:shd w:val="clear" w:color="auto" w:fill="D9D9D9"/>
                </w:rPr>
                <m:t>B</m:t>
              </m:r>
            </m:den>
          </m:f>
          <m:r>
            <m:rPr>
              <m:sty m:val="b"/>
            </m:rPr>
            <w:rPr>
              <w:rFonts w:ascii="Cambria Math" w:hAnsi="Cambria Math" w:cs="Calibri Light"/>
              <w:color w:val="FFFFFF"/>
              <w:shd w:val="clear" w:color="auto" w:fill="D9D9D9"/>
            </w:rPr>
            <m:t xml:space="preserve"> ×100</m:t>
          </m:r>
        </m:oMath>
      </m:oMathPara>
    </w:p>
    <w:p w14:paraId="26025BCD" w14:textId="77777777" w:rsidR="00347F24" w:rsidRDefault="00347F24" w:rsidP="00347F24">
      <w:pPr>
        <w:rPr>
          <w:rFonts w:cstheme="minorHAnsi"/>
        </w:rPr>
      </w:pPr>
    </w:p>
    <w:p w14:paraId="43888C68" w14:textId="77777777" w:rsidR="00347F24" w:rsidRDefault="00347F24" w:rsidP="00347F24">
      <w:pPr>
        <w:pStyle w:val="Listparagraf"/>
        <w:numPr>
          <w:ilvl w:val="0"/>
          <w:numId w:val="4"/>
        </w:numPr>
        <w:spacing w:before="240" w:after="240" w:line="240" w:lineRule="auto"/>
        <w:ind w:left="360"/>
        <w:jc w:val="both"/>
        <w:rPr>
          <w:rFonts w:cstheme="minorHAnsi"/>
          <w:b/>
        </w:rPr>
      </w:pPr>
      <w:bookmarkStart w:id="187" w:name="_Toc1544712"/>
      <w:r>
        <w:rPr>
          <w:rFonts w:cstheme="minorHAnsi"/>
          <w:b/>
        </w:rPr>
        <w:t>Performanță tehnică</w:t>
      </w:r>
      <w:bookmarkEnd w:id="187"/>
    </w:p>
    <w:p w14:paraId="687F4FD0" w14:textId="77777777" w:rsidR="00347F24" w:rsidRDefault="00347F24" w:rsidP="00347F24">
      <w:pPr>
        <w:pStyle w:val="Titlu2"/>
        <w:rPr>
          <w:rFonts w:asciiTheme="minorHAnsi" w:hAnsiTheme="minorHAnsi" w:cstheme="minorHAnsi"/>
          <w:color w:val="auto"/>
          <w:sz w:val="22"/>
          <w:szCs w:val="22"/>
        </w:rPr>
      </w:pPr>
      <w:bookmarkStart w:id="188" w:name="_Toc17277239"/>
      <w:bookmarkStart w:id="189" w:name="_Toc38364041"/>
      <w:bookmarkStart w:id="190" w:name="_Toc40171767"/>
      <w:bookmarkStart w:id="191" w:name="_Toc48730356"/>
      <w:bookmarkStart w:id="192" w:name="_Toc123990439"/>
      <w:bookmarkStart w:id="193" w:name="_Toc123999839"/>
      <w:bookmarkStart w:id="194" w:name="_Toc126769755"/>
      <w:bookmarkStart w:id="195" w:name="_Toc128571313"/>
      <w:bookmarkStart w:id="196" w:name="_Toc159505191"/>
      <w:bookmarkStart w:id="197" w:name="_Toc159506268"/>
      <w:bookmarkStart w:id="198" w:name="_Toc159511986"/>
      <w:r>
        <w:rPr>
          <w:rFonts w:asciiTheme="minorHAnsi" w:hAnsiTheme="minorHAnsi" w:cstheme="minorHAnsi"/>
          <w:color w:val="auto"/>
          <w:sz w:val="22"/>
          <w:szCs w:val="22"/>
        </w:rPr>
        <w:t>2.6 Nivelul pierderilor de apă în total apă intrată în sistem</w:t>
      </w:r>
      <w:bookmarkEnd w:id="188"/>
      <w:bookmarkEnd w:id="189"/>
      <w:bookmarkEnd w:id="190"/>
      <w:bookmarkEnd w:id="191"/>
      <w:bookmarkEnd w:id="192"/>
      <w:bookmarkEnd w:id="193"/>
      <w:bookmarkEnd w:id="194"/>
      <w:bookmarkEnd w:id="195"/>
      <w:bookmarkEnd w:id="196"/>
      <w:bookmarkEnd w:id="197"/>
      <w:bookmarkEnd w:id="198"/>
    </w:p>
    <w:p w14:paraId="7725DD30" w14:textId="77777777" w:rsidR="00347F24" w:rsidRDefault="00347F24" w:rsidP="00347F24">
      <w:pPr>
        <w:rPr>
          <w:rFonts w:cstheme="minorHAnsi"/>
        </w:rPr>
      </w:pPr>
      <w:r>
        <w:rPr>
          <w:rFonts w:cstheme="minorHAnsi"/>
        </w:rPr>
        <w:t xml:space="preserve">Acest indicator se calculează considerând următoarele elemente: </w:t>
      </w:r>
    </w:p>
    <w:p w14:paraId="02A37998" w14:textId="77777777" w:rsidR="00347F24" w:rsidRDefault="00347F24" w:rsidP="00347F24">
      <w:pPr>
        <w:pStyle w:val="Listparagraf"/>
        <w:numPr>
          <w:ilvl w:val="0"/>
          <w:numId w:val="8"/>
        </w:numPr>
        <w:spacing w:line="240" w:lineRule="auto"/>
        <w:jc w:val="both"/>
        <w:rPr>
          <w:rFonts w:cstheme="minorHAnsi"/>
        </w:rPr>
      </w:pPr>
      <w:r>
        <w:rPr>
          <w:rFonts w:cstheme="minorHAnsi"/>
        </w:rPr>
        <w:t>Volumul de apă intrat în sistem în anul evaluat (total apă brută extrasă – apă brută exportată + apă brută importată + apă potabilă importată) (m</w:t>
      </w:r>
      <w:r>
        <w:rPr>
          <w:rFonts w:cstheme="minorHAnsi"/>
          <w:vertAlign w:val="superscript"/>
        </w:rPr>
        <w:t>3</w:t>
      </w:r>
      <w:r>
        <w:rPr>
          <w:rFonts w:cstheme="minorHAnsi"/>
        </w:rPr>
        <w:t>) (A)</w:t>
      </w:r>
    </w:p>
    <w:p w14:paraId="547C7922" w14:textId="77777777" w:rsidR="00347F24" w:rsidRDefault="00347F24" w:rsidP="00347F24">
      <w:pPr>
        <w:pStyle w:val="Listparagraf"/>
        <w:numPr>
          <w:ilvl w:val="0"/>
          <w:numId w:val="8"/>
        </w:numPr>
        <w:spacing w:line="240" w:lineRule="auto"/>
        <w:jc w:val="both"/>
        <w:rPr>
          <w:rFonts w:cstheme="minorHAnsi"/>
        </w:rPr>
      </w:pPr>
      <w:r>
        <w:rPr>
          <w:rFonts w:cstheme="minorHAnsi"/>
        </w:rPr>
        <w:t>Volumul de apă facturat (B)</w:t>
      </w:r>
    </w:p>
    <w:p w14:paraId="4640010B" w14:textId="77777777" w:rsidR="00347F24" w:rsidRDefault="00347F24" w:rsidP="00347F24">
      <w:pPr>
        <w:pStyle w:val="Listparagraf"/>
        <w:numPr>
          <w:ilvl w:val="0"/>
          <w:numId w:val="8"/>
        </w:numPr>
        <w:spacing w:line="240" w:lineRule="auto"/>
        <w:jc w:val="both"/>
        <w:rPr>
          <w:rFonts w:eastAsia="Times New Roman" w:cstheme="minorHAnsi"/>
        </w:rPr>
      </w:pPr>
      <w:r>
        <w:rPr>
          <w:rFonts w:eastAsia="Times New Roman" w:cstheme="minorHAnsi"/>
        </w:rPr>
        <w:t>consumul de apa propriu și tehnologic (C)</w:t>
      </w:r>
    </w:p>
    <w:p w14:paraId="2074DEDC"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Light"/>
              <w:color w:val="FFFFFF"/>
              <w:shd w:val="clear" w:color="auto" w:fill="C9C9C9"/>
            </w:rPr>
            <m:t>Nivelul perderilor de apă=</m:t>
          </m:r>
          <m:f>
            <m:fPr>
              <m:ctrlPr>
                <w:rPr>
                  <w:rFonts w:ascii="Cambria Math" w:hAnsi="Cambria Math" w:cs="Calibri Light"/>
                  <w:b/>
                  <w:color w:val="FFFFFF"/>
                  <w:shd w:val="clear" w:color="auto" w:fill="C9C9C9"/>
                </w:rPr>
              </m:ctrlPr>
            </m:fPr>
            <m:num>
              <m:r>
                <m:rPr>
                  <m:sty m:val="b"/>
                </m:rPr>
                <w:rPr>
                  <w:rFonts w:ascii="Cambria Math" w:hAnsi="Cambria Math" w:cs="Calibri Light"/>
                  <w:color w:val="FFFFFF"/>
                  <w:shd w:val="clear" w:color="auto" w:fill="C9C9C9"/>
                </w:rPr>
                <m:t>A- B-C</m:t>
              </m:r>
            </m:num>
            <m:den>
              <m:r>
                <m:rPr>
                  <m:sty m:val="b"/>
                </m:rPr>
                <w:rPr>
                  <w:rFonts w:ascii="Cambria Math" w:hAnsi="Cambria Math" w:cs="Calibri Light"/>
                  <w:color w:val="FFFFFF"/>
                  <w:shd w:val="clear" w:color="auto" w:fill="C9C9C9"/>
                </w:rPr>
                <m:t>A</m:t>
              </m:r>
            </m:den>
          </m:f>
          <m:r>
            <m:rPr>
              <m:sty m:val="b"/>
            </m:rPr>
            <w:rPr>
              <w:rFonts w:ascii="Cambria Math" w:hAnsi="Cambria Math" w:cs="Calibri Light"/>
              <w:color w:val="FFFFFF"/>
              <w:shd w:val="clear" w:color="auto" w:fill="C9C9C9"/>
            </w:rPr>
            <m:t xml:space="preserve"> ×100 </m:t>
          </m:r>
        </m:oMath>
      </m:oMathPara>
    </w:p>
    <w:p w14:paraId="3E966BEC" w14:textId="77777777" w:rsidR="00347F24" w:rsidRDefault="00347F24" w:rsidP="00347F24">
      <w:pPr>
        <w:rPr>
          <w:rFonts w:cstheme="minorHAnsi"/>
          <w:lang w:eastAsia="ro-RO"/>
        </w:rPr>
      </w:pPr>
      <w:bookmarkStart w:id="199" w:name="_Toc532985860"/>
      <w:bookmarkStart w:id="200" w:name="_Toc1544713"/>
    </w:p>
    <w:p w14:paraId="2BB719F2" w14:textId="77777777" w:rsidR="00347F24" w:rsidRDefault="00347F24" w:rsidP="00347F24">
      <w:pPr>
        <w:rPr>
          <w:rFonts w:cstheme="minorHAnsi"/>
          <w:b/>
          <w:caps/>
          <w:color w:val="C00000"/>
          <w:spacing w:val="-2"/>
        </w:rPr>
      </w:pPr>
      <w:r>
        <w:rPr>
          <w:rFonts w:cstheme="minorHAnsi"/>
        </w:rPr>
        <w:br w:type="page"/>
      </w:r>
    </w:p>
    <w:p w14:paraId="2A6B3142" w14:textId="77777777" w:rsidR="00347F24" w:rsidRDefault="00347F24" w:rsidP="00347F24">
      <w:pPr>
        <w:pStyle w:val="Titlu1"/>
        <w:pBdr>
          <w:bottom w:val="single" w:sz="4" w:space="1" w:color="auto"/>
        </w:pBdr>
        <w:rPr>
          <w:rFonts w:asciiTheme="minorHAnsi" w:hAnsiTheme="minorHAnsi" w:cstheme="minorHAnsi"/>
          <w:color w:val="auto"/>
          <w:sz w:val="22"/>
          <w:szCs w:val="22"/>
        </w:rPr>
      </w:pPr>
      <w:bookmarkStart w:id="201" w:name="_Toc17277240"/>
      <w:bookmarkStart w:id="202" w:name="_Toc38364042"/>
      <w:bookmarkStart w:id="203" w:name="_Toc40171768"/>
      <w:bookmarkStart w:id="204" w:name="_Toc48730357"/>
      <w:bookmarkStart w:id="205" w:name="_Toc123990440"/>
      <w:bookmarkStart w:id="206" w:name="_Toc123999840"/>
      <w:bookmarkStart w:id="207" w:name="_Toc126769756"/>
      <w:bookmarkStart w:id="208" w:name="_Toc128571314"/>
      <w:bookmarkStart w:id="209" w:name="_Toc159505192"/>
      <w:bookmarkStart w:id="210" w:name="_Toc159506269"/>
      <w:bookmarkStart w:id="211" w:name="_Toc159511987"/>
      <w:r>
        <w:rPr>
          <w:rFonts w:asciiTheme="minorHAnsi" w:hAnsiTheme="minorHAnsi" w:cstheme="minorHAnsi"/>
          <w:color w:val="auto"/>
          <w:sz w:val="22"/>
          <w:szCs w:val="22"/>
        </w:rPr>
        <w:lastRenderedPageBreak/>
        <w:t>INDICATORI PRIVIND EFICIENȚA PERSONALULUI</w:t>
      </w:r>
      <w:bookmarkEnd w:id="201"/>
      <w:bookmarkEnd w:id="202"/>
      <w:bookmarkEnd w:id="203"/>
      <w:bookmarkEnd w:id="204"/>
      <w:bookmarkEnd w:id="205"/>
      <w:bookmarkEnd w:id="206"/>
      <w:bookmarkEnd w:id="207"/>
      <w:bookmarkEnd w:id="208"/>
      <w:bookmarkEnd w:id="209"/>
      <w:bookmarkEnd w:id="210"/>
      <w:bookmarkEnd w:id="211"/>
    </w:p>
    <w:p w14:paraId="6D4D6A5F" w14:textId="77777777" w:rsidR="00347F24" w:rsidRDefault="00347F24" w:rsidP="00347F24">
      <w:pPr>
        <w:pStyle w:val="Titlu2"/>
        <w:rPr>
          <w:rFonts w:asciiTheme="minorHAnsi" w:hAnsiTheme="minorHAnsi" w:cstheme="minorHAnsi"/>
          <w:color w:val="auto"/>
          <w:sz w:val="22"/>
          <w:szCs w:val="22"/>
        </w:rPr>
      </w:pPr>
      <w:bookmarkStart w:id="212" w:name="_Toc15294561"/>
      <w:bookmarkStart w:id="213" w:name="_Toc15294584"/>
      <w:bookmarkStart w:id="214" w:name="_Toc15295338"/>
      <w:bookmarkStart w:id="215" w:name="_Toc15295622"/>
      <w:bookmarkStart w:id="216" w:name="_Toc16589282"/>
      <w:bookmarkStart w:id="217" w:name="_Toc16589360"/>
      <w:bookmarkStart w:id="218" w:name="_Toc123999841"/>
      <w:bookmarkStart w:id="219" w:name="_Toc123990441"/>
      <w:bookmarkStart w:id="220" w:name="_Toc48730358"/>
      <w:bookmarkStart w:id="221" w:name="_Toc40171769"/>
      <w:bookmarkStart w:id="222" w:name="_Toc38364043"/>
      <w:bookmarkStart w:id="223" w:name="_Toc17277241"/>
      <w:bookmarkEnd w:id="212"/>
      <w:bookmarkEnd w:id="213"/>
      <w:bookmarkEnd w:id="214"/>
      <w:bookmarkEnd w:id="215"/>
      <w:bookmarkEnd w:id="216"/>
      <w:bookmarkEnd w:id="217"/>
    </w:p>
    <w:p w14:paraId="4DF69D98" w14:textId="77777777" w:rsidR="00347F24" w:rsidRDefault="00347F24" w:rsidP="00347F24">
      <w:pPr>
        <w:pStyle w:val="Titlu2"/>
        <w:rPr>
          <w:rFonts w:asciiTheme="minorHAnsi" w:hAnsiTheme="minorHAnsi" w:cstheme="minorHAnsi"/>
          <w:color w:val="auto"/>
          <w:sz w:val="22"/>
          <w:szCs w:val="22"/>
        </w:rPr>
      </w:pPr>
      <w:bookmarkStart w:id="224" w:name="_Toc126769757"/>
      <w:bookmarkStart w:id="225" w:name="_Toc128571315"/>
      <w:bookmarkStart w:id="226" w:name="_Toc159505193"/>
      <w:bookmarkStart w:id="227" w:name="_Toc159506270"/>
      <w:bookmarkStart w:id="228" w:name="_Toc159511988"/>
      <w:r>
        <w:rPr>
          <w:rFonts w:asciiTheme="minorHAnsi" w:hAnsiTheme="minorHAnsi" w:cstheme="minorHAnsi"/>
          <w:color w:val="auto"/>
          <w:sz w:val="22"/>
          <w:szCs w:val="22"/>
        </w:rPr>
        <w:t>3.1 Eficiența utilizării personalului (apă)</w:t>
      </w:r>
      <w:bookmarkEnd w:id="218"/>
      <w:bookmarkEnd w:id="219"/>
      <w:bookmarkEnd w:id="220"/>
      <w:bookmarkEnd w:id="221"/>
      <w:bookmarkEnd w:id="222"/>
      <w:bookmarkEnd w:id="223"/>
      <w:bookmarkEnd w:id="224"/>
      <w:bookmarkEnd w:id="225"/>
      <w:bookmarkEnd w:id="226"/>
      <w:bookmarkEnd w:id="227"/>
      <w:bookmarkEnd w:id="228"/>
    </w:p>
    <w:p w14:paraId="0908BD65" w14:textId="77777777" w:rsidR="00347F24" w:rsidRDefault="00347F24" w:rsidP="00347F24">
      <w:pPr>
        <w:rPr>
          <w:rFonts w:cstheme="minorHAnsi"/>
        </w:rPr>
      </w:pPr>
      <w:bookmarkStart w:id="229" w:name="_Hlk17283316"/>
      <w:r>
        <w:rPr>
          <w:rFonts w:cstheme="minorHAnsi"/>
        </w:rPr>
        <w:t>Acest indicator (nr./ 1.000 branșamente) se calculează considerând următoarele elemente:</w:t>
      </w:r>
    </w:p>
    <w:p w14:paraId="2F5671C2" w14:textId="77777777" w:rsidR="00347F24" w:rsidRDefault="00347F24" w:rsidP="00347F24">
      <w:pPr>
        <w:pStyle w:val="Listparagraf"/>
        <w:numPr>
          <w:ilvl w:val="0"/>
          <w:numId w:val="9"/>
        </w:numPr>
        <w:spacing w:line="240" w:lineRule="auto"/>
        <w:jc w:val="both"/>
        <w:rPr>
          <w:rFonts w:cstheme="minorHAnsi"/>
        </w:rPr>
      </w:pPr>
      <w:r>
        <w:rPr>
          <w:rFonts w:cstheme="minorHAnsi"/>
        </w:rPr>
        <w:t>numărul mediu de angajați direcți aferenți activității de apă (A)</w:t>
      </w:r>
    </w:p>
    <w:p w14:paraId="2256DD72" w14:textId="77777777" w:rsidR="00347F24" w:rsidRDefault="00347F24" w:rsidP="00347F24">
      <w:pPr>
        <w:pStyle w:val="Listparagraf"/>
        <w:numPr>
          <w:ilvl w:val="0"/>
          <w:numId w:val="9"/>
        </w:numPr>
        <w:spacing w:line="240" w:lineRule="auto"/>
        <w:jc w:val="both"/>
        <w:rPr>
          <w:rFonts w:cstheme="minorHAnsi"/>
        </w:rPr>
      </w:pPr>
      <w:r>
        <w:rPr>
          <w:rFonts w:cstheme="minorHAnsi"/>
        </w:rPr>
        <w:t>numărul total de branșamente (B)</w:t>
      </w:r>
    </w:p>
    <w:bookmarkEnd w:id="229"/>
    <w:p w14:paraId="797A1A34"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w:color w:val="FFFFFF"/>
            </w:rPr>
            <m:t>Eficiența utilizării personalului (apă)</m:t>
          </m:r>
          <m:r>
            <m:rPr>
              <m:sty m:val="b"/>
            </m:rPr>
            <w:rPr>
              <w:rFonts w:ascii="Cambria Math" w:hAnsi="Cambria Math" w:cs="Calibri"/>
              <w:color w:val="FFFFFF"/>
              <w:shd w:val="clear" w:color="auto" w:fill="C9C9C9"/>
            </w:rPr>
            <m:t>=</m:t>
          </m:r>
          <m:f>
            <m:fPr>
              <m:ctrlPr>
                <w:rPr>
                  <w:rFonts w:ascii="Cambria Math" w:hAnsi="Cambria Math" w:cs="Calibri"/>
                  <w:b/>
                  <w:color w:val="FFFFFF"/>
                  <w:shd w:val="clear" w:color="auto" w:fill="C9C9C9"/>
                </w:rPr>
              </m:ctrlPr>
            </m:fPr>
            <m:num>
              <m:r>
                <m:rPr>
                  <m:sty m:val="b"/>
                </m:rPr>
                <w:rPr>
                  <w:rFonts w:ascii="Cambria Math" w:hAnsi="Cambria Math" w:cs="Calibri"/>
                  <w:color w:val="FFFFFF"/>
                  <w:shd w:val="clear" w:color="auto" w:fill="C9C9C9"/>
                </w:rPr>
                <m:t>A</m:t>
              </m:r>
            </m:num>
            <m:den>
              <m:r>
                <m:rPr>
                  <m:sty m:val="b"/>
                </m:rPr>
                <w:rPr>
                  <w:rFonts w:ascii="Cambria Math" w:hAnsi="Cambria Math" w:cs="Calibri"/>
                  <w:color w:val="FFFFFF"/>
                  <w:shd w:val="clear" w:color="auto" w:fill="C9C9C9"/>
                </w:rPr>
                <m:t>B</m:t>
              </m:r>
            </m:den>
          </m:f>
          <m:r>
            <m:rPr>
              <m:sty m:val="b"/>
            </m:rPr>
            <w:rPr>
              <w:rFonts w:ascii="Cambria Math" w:hAnsi="Cambria Math" w:cs="Calibri"/>
              <w:color w:val="FFFFFF"/>
              <w:shd w:val="clear" w:color="auto" w:fill="C9C9C9"/>
            </w:rPr>
            <m:t xml:space="preserve"> ×1.000</m:t>
          </m:r>
        </m:oMath>
      </m:oMathPara>
    </w:p>
    <w:p w14:paraId="5C4C3B25" w14:textId="77777777" w:rsidR="00347F24" w:rsidRDefault="00347F24" w:rsidP="00347F24">
      <w:pPr>
        <w:rPr>
          <w:rFonts w:cstheme="minorHAnsi"/>
        </w:rPr>
      </w:pPr>
    </w:p>
    <w:p w14:paraId="7385D6D3" w14:textId="77777777" w:rsidR="00347F24" w:rsidRDefault="00347F24" w:rsidP="00347F24">
      <w:pPr>
        <w:pStyle w:val="Titlu2"/>
        <w:rPr>
          <w:rFonts w:asciiTheme="minorHAnsi" w:hAnsiTheme="minorHAnsi" w:cstheme="minorHAnsi"/>
          <w:color w:val="auto"/>
          <w:sz w:val="22"/>
          <w:szCs w:val="22"/>
        </w:rPr>
      </w:pPr>
      <w:bookmarkStart w:id="230" w:name="_Toc17277242"/>
      <w:bookmarkStart w:id="231" w:name="_Toc38364044"/>
      <w:bookmarkStart w:id="232" w:name="_Toc40171770"/>
      <w:bookmarkStart w:id="233" w:name="_Toc48730359"/>
      <w:bookmarkStart w:id="234" w:name="_Toc123990442"/>
      <w:bookmarkStart w:id="235" w:name="_Toc123999842"/>
      <w:bookmarkStart w:id="236" w:name="_Toc126769758"/>
      <w:bookmarkStart w:id="237" w:name="_Toc128571316"/>
      <w:bookmarkStart w:id="238" w:name="_Toc159505194"/>
      <w:bookmarkStart w:id="239" w:name="_Toc159506271"/>
      <w:bookmarkStart w:id="240" w:name="_Toc159511989"/>
      <w:r>
        <w:rPr>
          <w:rFonts w:asciiTheme="minorHAnsi" w:hAnsiTheme="minorHAnsi" w:cstheme="minorHAnsi"/>
          <w:color w:val="auto"/>
          <w:sz w:val="22"/>
          <w:szCs w:val="22"/>
        </w:rPr>
        <w:t>3.2 Eficiența utilizării personalului (canalizare)</w:t>
      </w:r>
      <w:bookmarkEnd w:id="230"/>
      <w:bookmarkEnd w:id="231"/>
      <w:bookmarkEnd w:id="232"/>
      <w:bookmarkEnd w:id="233"/>
      <w:bookmarkEnd w:id="234"/>
      <w:bookmarkEnd w:id="235"/>
      <w:bookmarkEnd w:id="236"/>
      <w:bookmarkEnd w:id="237"/>
      <w:bookmarkEnd w:id="238"/>
      <w:bookmarkEnd w:id="239"/>
      <w:bookmarkEnd w:id="240"/>
    </w:p>
    <w:p w14:paraId="708F5B6E" w14:textId="77777777" w:rsidR="00347F24" w:rsidRDefault="00347F24" w:rsidP="00347F24">
      <w:pPr>
        <w:rPr>
          <w:rFonts w:cstheme="minorHAnsi"/>
        </w:rPr>
      </w:pPr>
      <w:bookmarkStart w:id="241" w:name="_Hlk17283330"/>
      <w:r>
        <w:rPr>
          <w:rFonts w:cstheme="minorHAnsi"/>
        </w:rPr>
        <w:t>Acest indicator (nr./ 1.000 racorduri) se calculează considerând următoarele elemente:</w:t>
      </w:r>
    </w:p>
    <w:p w14:paraId="46B371B0" w14:textId="77777777" w:rsidR="00347F24" w:rsidRDefault="00347F24" w:rsidP="00347F24">
      <w:pPr>
        <w:pStyle w:val="Listparagraf"/>
        <w:numPr>
          <w:ilvl w:val="0"/>
          <w:numId w:val="9"/>
        </w:numPr>
        <w:spacing w:line="240" w:lineRule="auto"/>
        <w:jc w:val="both"/>
        <w:rPr>
          <w:rFonts w:cstheme="minorHAnsi"/>
        </w:rPr>
      </w:pPr>
      <w:r>
        <w:rPr>
          <w:rFonts w:cstheme="minorHAnsi"/>
        </w:rPr>
        <w:t>numărul mediu de angajați direcți pe activitatea de canalizare ai companiei (A)</w:t>
      </w:r>
    </w:p>
    <w:p w14:paraId="6D1D47F9" w14:textId="77777777" w:rsidR="00347F24" w:rsidRDefault="00347F24" w:rsidP="00347F24">
      <w:pPr>
        <w:pStyle w:val="Listparagraf"/>
        <w:numPr>
          <w:ilvl w:val="0"/>
          <w:numId w:val="9"/>
        </w:numPr>
        <w:spacing w:line="240" w:lineRule="auto"/>
        <w:jc w:val="both"/>
        <w:rPr>
          <w:rFonts w:cstheme="minorHAnsi"/>
        </w:rPr>
      </w:pPr>
      <w:r>
        <w:rPr>
          <w:rFonts w:cstheme="minorHAnsi"/>
        </w:rPr>
        <w:t>numărul total de racorduri (B)</w:t>
      </w:r>
    </w:p>
    <w:bookmarkEnd w:id="241"/>
    <w:p w14:paraId="175F0FE6" w14:textId="77777777" w:rsidR="00347F24" w:rsidRDefault="00347F24" w:rsidP="00347F24">
      <w:pPr>
        <w:shd w:val="clear" w:color="auto" w:fill="C9C9C9"/>
        <w:rPr>
          <w:rFonts w:cstheme="minorHAnsi"/>
          <w:b/>
          <w:color w:val="FFFFFF"/>
          <w:shd w:val="clear" w:color="auto" w:fill="C9C9C9"/>
        </w:rPr>
      </w:pPr>
      <m:oMathPara>
        <m:oMath>
          <m:r>
            <m:rPr>
              <m:sty m:val="b"/>
            </m:rPr>
            <w:rPr>
              <w:rFonts w:ascii="Cambria Math" w:hAnsi="Cambria Math" w:cs="Calibri"/>
              <w:color w:val="FFFFFF"/>
            </w:rPr>
            <m:t xml:space="preserve">Eficiența utilizării personalului (canalizare) </m:t>
          </m:r>
          <m:r>
            <m:rPr>
              <m:sty m:val="b"/>
            </m:rPr>
            <w:rPr>
              <w:rFonts w:ascii="Cambria Math" w:hAnsi="Cambria Math" w:cs="Calibri"/>
              <w:color w:val="FFFFFF"/>
              <w:shd w:val="clear" w:color="auto" w:fill="C9C9C9"/>
            </w:rPr>
            <m:t>=</m:t>
          </m:r>
          <m:f>
            <m:fPr>
              <m:ctrlPr>
                <w:rPr>
                  <w:rFonts w:ascii="Cambria Math" w:hAnsi="Cambria Math" w:cs="Calibri"/>
                  <w:b/>
                  <w:color w:val="FFFFFF"/>
                  <w:shd w:val="clear" w:color="auto" w:fill="C9C9C9"/>
                </w:rPr>
              </m:ctrlPr>
            </m:fPr>
            <m:num>
              <m:r>
                <m:rPr>
                  <m:sty m:val="b"/>
                </m:rPr>
                <w:rPr>
                  <w:rFonts w:ascii="Cambria Math" w:hAnsi="Cambria Math" w:cs="Calibri"/>
                  <w:color w:val="FFFFFF"/>
                  <w:shd w:val="clear" w:color="auto" w:fill="C9C9C9"/>
                </w:rPr>
                <m:t>A</m:t>
              </m:r>
            </m:num>
            <m:den>
              <m:r>
                <m:rPr>
                  <m:sty m:val="b"/>
                </m:rPr>
                <w:rPr>
                  <w:rFonts w:ascii="Cambria Math" w:hAnsi="Cambria Math" w:cs="Calibri"/>
                  <w:color w:val="FFFFFF"/>
                  <w:shd w:val="clear" w:color="auto" w:fill="C9C9C9"/>
                </w:rPr>
                <m:t>B</m:t>
              </m:r>
            </m:den>
          </m:f>
          <m:r>
            <m:rPr>
              <m:sty m:val="b"/>
            </m:rPr>
            <w:rPr>
              <w:rFonts w:ascii="Cambria Math" w:hAnsi="Cambria Math" w:cs="Calibri"/>
              <w:color w:val="FFFFFF"/>
              <w:shd w:val="clear" w:color="auto" w:fill="C9C9C9"/>
            </w:rPr>
            <m:t xml:space="preserve"> ×1.000</m:t>
          </m:r>
        </m:oMath>
      </m:oMathPara>
    </w:p>
    <w:bookmarkEnd w:id="129"/>
    <w:bookmarkEnd w:id="199"/>
    <w:bookmarkEnd w:id="200"/>
    <w:p w14:paraId="34F1A885" w14:textId="77777777" w:rsidR="00347F24" w:rsidRDefault="00347F24" w:rsidP="00347F24">
      <w:pPr>
        <w:rPr>
          <w:rFonts w:cstheme="minorHAnsi"/>
          <w:lang w:eastAsia="ro-RO"/>
        </w:rPr>
      </w:pPr>
    </w:p>
    <w:p w14:paraId="35DAD879" w14:textId="77777777" w:rsidR="00347F24" w:rsidRDefault="00347F24" w:rsidP="00347F24">
      <w:pPr>
        <w:jc w:val="both"/>
        <w:rPr>
          <w:rFonts w:cstheme="minorHAnsi"/>
        </w:rPr>
      </w:pPr>
    </w:p>
    <w:p w14:paraId="27AF71DA" w14:textId="77777777" w:rsidR="00347F24" w:rsidRDefault="00347F24" w:rsidP="00347F24">
      <w:pPr>
        <w:rPr>
          <w:rFonts w:cstheme="minorHAnsi"/>
        </w:rPr>
      </w:pPr>
      <w:r>
        <w:rPr>
          <w:rFonts w:cstheme="minorHAnsi"/>
        </w:rPr>
        <w:br w:type="page"/>
      </w:r>
    </w:p>
    <w:p w14:paraId="2EDBB3E5" w14:textId="1809E3AB" w:rsidR="00347F24" w:rsidRDefault="00643B81" w:rsidP="00347F24">
      <w:pPr>
        <w:pStyle w:val="Titlu3"/>
        <w:ind w:right="29"/>
        <w:jc w:val="center"/>
        <w:rPr>
          <w:rFonts w:cstheme="minorHAnsi"/>
          <w:b/>
          <w:bCs/>
          <w:sz w:val="24"/>
          <w:szCs w:val="24"/>
        </w:rPr>
      </w:pPr>
      <w:bookmarkStart w:id="242" w:name="_Toc159511990"/>
      <w:r>
        <w:rPr>
          <w:noProof/>
        </w:rPr>
        <w:lastRenderedPageBreak/>
        <w:drawing>
          <wp:inline distT="0" distB="0" distL="0" distR="0" wp14:anchorId="4DA5A318" wp14:editId="29AF2468">
            <wp:extent cx="6106795" cy="8364220"/>
            <wp:effectExtent l="0" t="0" r="8255" b="0"/>
            <wp:docPr id="523203550"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06795" cy="8364220"/>
                    </a:xfrm>
                    <a:prstGeom prst="rect">
                      <a:avLst/>
                    </a:prstGeom>
                    <a:noFill/>
                    <a:ln>
                      <a:noFill/>
                    </a:ln>
                  </pic:spPr>
                </pic:pic>
              </a:graphicData>
            </a:graphic>
          </wp:inline>
        </w:drawing>
      </w:r>
      <w:bookmarkEnd w:id="1"/>
      <w:bookmarkEnd w:id="242"/>
    </w:p>
    <w:sectPr w:rsidR="00347F24" w:rsidSect="00495846">
      <w:pgSz w:w="11906" w:h="16838"/>
      <w:pgMar w:top="851" w:right="849"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4A41"/>
    <w:multiLevelType w:val="hybridMultilevel"/>
    <w:tmpl w:val="E1A04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3A6002"/>
    <w:multiLevelType w:val="hybridMultilevel"/>
    <w:tmpl w:val="F822E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FB74292"/>
    <w:multiLevelType w:val="hybridMultilevel"/>
    <w:tmpl w:val="532402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8932035"/>
    <w:multiLevelType w:val="hybridMultilevel"/>
    <w:tmpl w:val="832A6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29140A"/>
    <w:multiLevelType w:val="hybridMultilevel"/>
    <w:tmpl w:val="108AF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9336CAC"/>
    <w:multiLevelType w:val="hybridMultilevel"/>
    <w:tmpl w:val="8FCA9BD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4E7B7821"/>
    <w:multiLevelType w:val="hybridMultilevel"/>
    <w:tmpl w:val="A7C6C994"/>
    <w:lvl w:ilvl="0" w:tplc="F0708BFC">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7217261C"/>
    <w:multiLevelType w:val="hybridMultilevel"/>
    <w:tmpl w:val="723E1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6027B1E"/>
    <w:multiLevelType w:val="hybridMultilevel"/>
    <w:tmpl w:val="142AF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336684390">
    <w:abstractNumId w:val="0"/>
  </w:num>
  <w:num w:numId="2" w16cid:durableId="69474626">
    <w:abstractNumId w:val="1"/>
  </w:num>
  <w:num w:numId="3" w16cid:durableId="167060684">
    <w:abstractNumId w:val="3"/>
  </w:num>
  <w:num w:numId="4" w16cid:durableId="326521559">
    <w:abstractNumId w:val="6"/>
  </w:num>
  <w:num w:numId="5" w16cid:durableId="502163877">
    <w:abstractNumId w:val="2"/>
  </w:num>
  <w:num w:numId="6" w16cid:durableId="537473118">
    <w:abstractNumId w:val="5"/>
  </w:num>
  <w:num w:numId="7" w16cid:durableId="1349983781">
    <w:abstractNumId w:val="8"/>
  </w:num>
  <w:num w:numId="8" w16cid:durableId="61490547">
    <w:abstractNumId w:val="7"/>
  </w:num>
  <w:num w:numId="9" w16cid:durableId="1639992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F24"/>
    <w:rsid w:val="001B2748"/>
    <w:rsid w:val="00224883"/>
    <w:rsid w:val="00332749"/>
    <w:rsid w:val="00347F24"/>
    <w:rsid w:val="003B597E"/>
    <w:rsid w:val="003D3308"/>
    <w:rsid w:val="00495846"/>
    <w:rsid w:val="005C1181"/>
    <w:rsid w:val="00643B81"/>
    <w:rsid w:val="009013FB"/>
    <w:rsid w:val="00957160"/>
    <w:rsid w:val="009F280D"/>
    <w:rsid w:val="00F0480E"/>
    <w:rsid w:val="00F16C38"/>
    <w:rsid w:val="00F41C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562A"/>
  <w15:chartTrackingRefBased/>
  <w15:docId w15:val="{300DC493-D92D-43BB-A787-7306111E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F24"/>
    <w:pPr>
      <w:spacing w:line="256" w:lineRule="auto"/>
    </w:pPr>
    <w:rPr>
      <w:kern w:val="0"/>
      <w14:ligatures w14:val="none"/>
    </w:rPr>
  </w:style>
  <w:style w:type="paragraph" w:styleId="Titlu1">
    <w:name w:val="heading 1"/>
    <w:basedOn w:val="Normal"/>
    <w:next w:val="Normal"/>
    <w:link w:val="Titlu1Caracter"/>
    <w:uiPriority w:val="9"/>
    <w:qFormat/>
    <w:rsid w:val="00347F2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347F2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347F24"/>
    <w:pPr>
      <w:keepNext/>
      <w:keepLines/>
      <w:spacing w:before="160" w:after="80"/>
      <w:outlineLvl w:val="2"/>
    </w:pPr>
    <w:rPr>
      <w:rFonts w:eastAsiaTheme="majorEastAsia" w:cstheme="majorBidi"/>
      <w:color w:val="2F5496"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47F24"/>
    <w:rPr>
      <w:rFonts w:asciiTheme="majorHAnsi" w:eastAsiaTheme="majorEastAsia" w:hAnsiTheme="majorHAnsi" w:cstheme="majorBidi"/>
      <w:color w:val="2F5496" w:themeColor="accent1" w:themeShade="BF"/>
      <w:kern w:val="0"/>
      <w:sz w:val="40"/>
      <w:szCs w:val="40"/>
      <w14:ligatures w14:val="none"/>
    </w:rPr>
  </w:style>
  <w:style w:type="character" w:customStyle="1" w:styleId="Titlu2Caracter">
    <w:name w:val="Titlu 2 Caracter"/>
    <w:basedOn w:val="Fontdeparagrafimplicit"/>
    <w:link w:val="Titlu2"/>
    <w:uiPriority w:val="9"/>
    <w:semiHidden/>
    <w:rsid w:val="00347F24"/>
    <w:rPr>
      <w:rFonts w:asciiTheme="majorHAnsi" w:eastAsiaTheme="majorEastAsia" w:hAnsiTheme="majorHAnsi" w:cstheme="majorBidi"/>
      <w:color w:val="2F5496" w:themeColor="accent1" w:themeShade="BF"/>
      <w:kern w:val="0"/>
      <w:sz w:val="32"/>
      <w:szCs w:val="32"/>
      <w14:ligatures w14:val="none"/>
    </w:rPr>
  </w:style>
  <w:style w:type="character" w:customStyle="1" w:styleId="Titlu3Caracter">
    <w:name w:val="Titlu 3 Caracter"/>
    <w:basedOn w:val="Fontdeparagrafimplicit"/>
    <w:link w:val="Titlu3"/>
    <w:uiPriority w:val="9"/>
    <w:semiHidden/>
    <w:rsid w:val="00347F24"/>
    <w:rPr>
      <w:rFonts w:eastAsiaTheme="majorEastAsia" w:cstheme="majorBidi"/>
      <w:color w:val="2F5496" w:themeColor="accent1" w:themeShade="BF"/>
      <w:kern w:val="0"/>
      <w:sz w:val="28"/>
      <w:szCs w:val="28"/>
      <w14:ligatures w14:val="none"/>
    </w:rPr>
  </w:style>
  <w:style w:type="paragraph" w:styleId="Textcomentariu">
    <w:name w:val="annotation text"/>
    <w:basedOn w:val="Normal"/>
    <w:link w:val="TextcomentariuCaracter"/>
    <w:uiPriority w:val="99"/>
    <w:semiHidden/>
    <w:unhideWhenUsed/>
    <w:rsid w:val="00347F24"/>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347F24"/>
    <w:rPr>
      <w:kern w:val="0"/>
      <w:sz w:val="20"/>
      <w:szCs w:val="20"/>
      <w14:ligatures w14:val="none"/>
    </w:rPr>
  </w:style>
  <w:style w:type="character" w:customStyle="1" w:styleId="ListparagrafCaracter">
    <w:name w:val="Listă paragraf Caracter"/>
    <w:aliases w:val="GIZ List Paragraph Caracter,Liststycke SKL Caracter,En tête 1 Caracter,PDP DOCUMENT SUBTITLE Caracter,Bullet list Caracter,Table of contents numbered Caracter,Foot note Caracter,Listenabsatz1 Caracter,Indent Paragraph Caracter"/>
    <w:link w:val="Listparagraf"/>
    <w:uiPriority w:val="34"/>
    <w:qFormat/>
    <w:locked/>
    <w:rsid w:val="00347F24"/>
    <w:rPr>
      <w:kern w:val="0"/>
      <w14:ligatures w14:val="none"/>
    </w:rPr>
  </w:style>
  <w:style w:type="paragraph" w:styleId="Listparagraf">
    <w:name w:val="List Paragraph"/>
    <w:aliases w:val="GIZ List Paragraph,Liststycke SKL,En tête 1,PDP DOCUMENT SUBTITLE,Bullet list,Table of contents numbered,Foot note,Listenabsatz1,Indent Paragraph,Lettre d'introduction,Paragraphe de liste PBLH,Numbered Standard,Bullet Styles para,Bullets"/>
    <w:basedOn w:val="Normal"/>
    <w:link w:val="ListparagrafCaracter"/>
    <w:uiPriority w:val="34"/>
    <w:qFormat/>
    <w:rsid w:val="00347F24"/>
    <w:pPr>
      <w:ind w:left="720"/>
      <w:contextualSpacing/>
    </w:pPr>
  </w:style>
  <w:style w:type="character" w:styleId="Referincomentariu">
    <w:name w:val="annotation reference"/>
    <w:basedOn w:val="Fontdeparagrafimplicit"/>
    <w:uiPriority w:val="99"/>
    <w:semiHidden/>
    <w:unhideWhenUsed/>
    <w:rsid w:val="00347F2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35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907</Words>
  <Characters>5264</Characters>
  <Application>Microsoft Office Word</Application>
  <DocSecurity>0</DocSecurity>
  <Lines>43</Lines>
  <Paragraphs>12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Gabriel</dc:creator>
  <cp:keywords/>
  <dc:description/>
  <cp:lastModifiedBy>Stare Civila LERESTI</cp:lastModifiedBy>
  <cp:revision>8</cp:revision>
  <dcterms:created xsi:type="dcterms:W3CDTF">2024-06-13T06:11:00Z</dcterms:created>
  <dcterms:modified xsi:type="dcterms:W3CDTF">2024-06-20T08:04:00Z</dcterms:modified>
</cp:coreProperties>
</file>